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0" w:before="600"/>
      </w:pPr>
      <w:r>
        <w:drawing>
          <wp:inline distT="0" distB="0" distL="0" distR="0">
            <wp:extent cx="2857500" cy="733425"/>
            <wp:effectExtent t="0" r="0" b="0" l="0"/>
            <wp:docPr id="54" name="platea-orizzontale-positivo.png" descr="platea-orizzontale-positivo.png" title="platea-orizzontale-positiv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/>
      </w:pPr>
      <w:r>
        <w:rPr>
          <w:b/>
          <w:bCs/>
          <w:color w:val="3E87C8"/>
          <w:spacing w:val="40"/>
          <w:sz w:val="22"/>
          <w:szCs w:val="22"/>
        </w:rPr>
        <w:t xml:space="preserve">GUIDA PER I RELATORI</w:t>
      </w:r>
    </w:p>
    <w:p>
      <w:pPr>
        <w:spacing w:after="280"/>
      </w:pPr>
      <w:r>
        <w:rPr>
          <w:rFonts w:ascii="Calibri" w:cs="Calibri" w:eastAsia="Calibri" w:hAnsi="Calibri"/>
          <w:b/>
          <w:bCs/>
          <w:color w:val="0A124D"/>
          <w:sz w:val="60"/>
          <w:szCs w:val="60"/>
        </w:rPr>
        <w:t xml:space="preserve">La vista relatore</w:t>
      </w:r>
    </w:p>
    <w:p>
      <w:pPr>
        <w:spacing w:after="1600"/>
      </w:pPr>
      <w:r>
        <w:rPr>
          <w:color w:val="5B6475"/>
          <w:sz w:val="26"/>
          <w:szCs w:val="26"/>
        </w:rPr>
        <w:t xml:space="preserve">Mentre parli al pubblico, la vista relatore ti mostra cosa c’è sullo schermo di sala, le note preparate dalla regia, il tempo del quiz e le domande del pubblico già approvate.</w:t>
      </w:r>
    </w:p>
    <w:p>
      <w:pPr>
        <w:spacing w:after="60"/>
      </w:pPr>
      <w:r>
        <w:rPr>
          <w:b/>
          <w:bCs/>
          <w:color w:val="1B2233"/>
          <w:sz w:val="20"/>
          <w:szCs w:val="20"/>
        </w:rPr>
        <w:t xml:space="preserve">Prodotto: </w:t>
      </w:r>
      <w:r>
        <w:rPr>
          <w:color w:val="5B6475"/>
          <w:sz w:val="20"/>
          <w:szCs w:val="20"/>
        </w:rPr>
        <w:t xml:space="preserve">Platea by Opinio.online</w:t>
      </w:r>
    </w:p>
    <w:p>
      <w:pPr>
        <w:spacing w:after="60"/>
      </w:pPr>
      <w:r>
        <w:rPr>
          <w:b/>
          <w:bCs/>
          <w:color w:val="1B2233"/>
          <w:sz w:val="20"/>
          <w:szCs w:val="20"/>
        </w:rPr>
        <w:t xml:space="preserve">Versione: </w:t>
      </w:r>
      <w:r>
        <w:rPr>
          <w:color w:val="5B6475"/>
          <w:sz w:val="20"/>
          <w:szCs w:val="20"/>
        </w:rPr>
        <w:t xml:space="preserve">1.0 · ottobre 2026</w:t>
      </w:r>
    </w:p>
    <w:p>
      <w:pPr>
        <w:spacing w:after="60"/>
      </w:pPr>
      <w:r>
        <w:rPr>
          <w:b/>
          <w:bCs/>
          <w:color w:val="1B2233"/>
          <w:sz w:val="20"/>
          <w:szCs w:val="20"/>
        </w:rPr>
        <w:t xml:space="preserve">Sito: </w:t>
      </w:r>
      <w:r>
        <w:rPr>
          <w:color w:val="5B6475"/>
          <w:sz w:val="20"/>
          <w:szCs w:val="20"/>
        </w:rPr>
        <w:t xml:space="preserve">www.opinio.online</w:t>
      </w:r>
    </w:p>
    <w:p>
      <w:r>
        <w:br w:type="page"/>
      </w:r>
    </w:p>
    <w:p>
      <w:pPr>
        <w:spacing w:after="200"/>
      </w:pPr>
      <w:r>
        <w:rPr>
          <w:b/>
          <w:bCs/>
          <w:color w:val="0A124D"/>
          <w:sz w:val="36"/>
          <w:szCs w:val="36"/>
        </w:rPr>
        <w:t xml:space="preserve">Indice</w:t>
      </w:r>
    </w:p>
    <w:sdt>
      <w:sdtPr>
        <w:alias w:val="Indice"/>
      </w:sdtPr>
      <w:sdtContent>
        <w:p>
          <w:r>
            <w:fldChar w:fldCharType="begin" w:dirty="true"/>
            <w:instrText xml:space="preserve">TOC \h \o "1-2"</w:instrText>
            <w:fldChar w:fldCharType="separate"/>
          </w:r>
        </w:p>
        <w:p>
          <w:r>
            <w:fldChar w:fldCharType="end"/>
          </w:r>
        </w:p>
      </w:sdtContent>
    </w:sdt>
    <w:p>
      <w:r>
        <w:br w:type="page"/>
      </w:r>
    </w:p>
    <w:p>
      <w:pPr>
        <w:pStyle w:val="Heading2"/>
      </w:pPr>
      <w:r>
        <w:t xml:space="preserve">Cosa serve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Un portatile o un tablet sul leggio o sul palco, collegato a Internet.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Il nome utente e la password ricevuti dalla regia o dall’amministratore. Per una prova: </w:t>
      </w:r>
      <w:r>
        <w:rPr>
          <w:b/>
          <w:bCs/>
        </w:rPr>
        <w:t xml:space="preserve">relatore</w:t>
      </w:r>
      <w:r>
        <w:t xml:space="preserve"> / </w:t>
      </w:r>
      <w:r>
        <w:rPr>
          <w:rFonts w:ascii="Consolas" w:cs="Consolas" w:eastAsia="Consolas" w:hAnsi="Consolas"/>
          <w:sz w:val="20"/>
          <w:szCs w:val="20"/>
          <w:shd w:fill="EEF1F5" w:color="auto" w:val="clear"/>
        </w:rPr>
        <w:t xml:space="preserve">Relatore2026</w:t>
      </w:r>
      <w:r>
        <w:t xml:space="preserve"> (Mario Rossi).</w:t>
      </w:r>
    </w:p>
    <w:p>
      <w:pPr>
        <w:pStyle w:val="Heading1"/>
      </w:pPr>
      <w:r>
        <w:t xml:space="preserve">1. Accedere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Apri l’indirizzo di Platea e scegli </w:t>
      </w:r>
      <w:r>
        <w:rPr>
          <w:b/>
          <w:bCs/>
        </w:rPr>
        <w:t xml:space="preserve">Accedi</w:t>
      </w:r>
      <w:r>
        <w:t xml:space="preserve">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Inserisci nome utente e password. Al primo accesso scegli una password personale (almeno 8 caratteri con lettere e numeri).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Vedi gli eventi in cui sei relatore: premi </w:t>
      </w:r>
      <w:r>
        <w:rPr>
          <w:b/>
          <w:bCs/>
        </w:rPr>
        <w:t xml:space="preserve">Vista relatore</w:t>
      </w:r>
      <w:r>
        <w:t xml:space="preserve">.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5791200" cy="3619500"/>
            <wp:effectExtent t="0" r="0" b="0" l="0"/>
            <wp:docPr id="48" name="relatore-01-eventi.jpg" descr="relatore-01-eventi.jpg" title="relatore-01-event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0" cy="361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spacing w:after="240" w:before="60"/>
        <w:jc w:val="center"/>
      </w:pPr>
      <w:r>
        <w:rPr>
          <w:i/>
          <w:iCs/>
          <w:color w:val="5B6475"/>
          <w:sz w:val="18"/>
          <w:szCs w:val="18"/>
        </w:rPr>
        <w:t xml:space="preserve">I tuoi eventi. Da qui apri anche il report dell’evento.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3E87C8" w:sz="6"/>
              <w:left w:val="single" w:color="3E87C8" w:sz="6"/>
              <w:bottom w:val="single" w:color="3E87C8" w:sz="6"/>
              <w:right w:val="single" w:color="3E87C8" w:sz="6"/>
            </w:tcBorders>
            <w:shd w:fill="EEF4FB" w:color="auto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after="120"/>
            </w:pPr>
            <w:r>
              <w:t xml:space="preserve">Non vedi l’evento? Chiedi alla regia di aggiungerti nella </w:t>
            </w:r>
            <w:r>
              <w:rPr>
                <w:b/>
                <w:bCs/>
              </w:rPr>
              <w:t xml:space="preserve">Squadra</w:t>
            </w:r>
            <w:r>
              <w:t xml:space="preserve"> dell’evento.</w:t>
            </w:r>
          </w:p>
        </w:tc>
      </w:tr>
    </w:tbl>
    <w:p>
      <w:pPr>
        <w:spacing w:after="80"/>
      </w:pPr>
    </w:p>
    <w:p>
      <w:pPr>
        <w:pStyle w:val="Heading1"/>
      </w:pPr>
      <w:r>
        <w:t xml:space="preserve">2. Leggere la vista relatore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5791200" cy="3619500"/>
            <wp:effectExtent t="0" r="0" b="0" l="0"/>
            <wp:docPr id="49" name="relatore-02-vista.jpg" descr="relatore-02-vista.jpg" title="relatore-02-vist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0" cy="361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spacing w:after="240" w:before="60"/>
        <w:jc w:val="center"/>
      </w:pPr>
      <w:r>
        <w:rPr>
          <w:i/>
          <w:iCs/>
          <w:color w:val="5B6475"/>
          <w:sz w:val="18"/>
          <w:szCs w:val="18"/>
        </w:rPr>
        <w:t xml:space="preserve">La vista relatore durante un sondaggio. Evidenziate in giallo, le tue note.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Sullo schermo ora</w:t>
      </w:r>
      <w:r>
        <w:t xml:space="preserve">: l’anteprima esatta di ciò che vede la sala. Le barre accanto al titolo mostrano a che punto sei della scaletta (in rosso l’attività in onda).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Stato</w:t>
      </w:r>
      <w:r>
        <w:t xml:space="preserve">: tipo di attività, risposte aperte o chiuse, risultati visibili o nascosti in sala, numero di rispondenti.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Risultati</w:t>
      </w:r>
      <w:r>
        <w:t xml:space="preserve"> in tempo reale, anche quando la regia li tiene nascosti alla sala: puoi commentarli prima di svelarli.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Le tue note</w:t>
      </w:r>
      <w:r>
        <w:t xml:space="preserve">: ciò che la regia ha preparato per te su quell’attività.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Dopo</w:t>
      </w:r>
      <w:r>
        <w:t xml:space="preserve">: la prossima attività in scaletta e le sue note, per preparare il passaggio.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In alto: codice dell’evento, persone collegate e ora attuale.</w:t>
      </w:r>
    </w:p>
    <w:p>
      <w:pPr>
        <w:spacing w:after="120"/>
      </w:pPr>
      <w:r>
        <w:t xml:space="preserve">Il pulsante con il cerchio a metà, in alto, cambia l’aspetto (automatico, chiaro, scuro). Lo scuro abbaglia meno sul palco.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5791200" cy="3619500"/>
            <wp:effectExtent t="0" r="0" b="0" l="0"/>
            <wp:docPr id="50" name="relatore-06-scuro.jpg" descr="relatore-06-scuro.jpg" title="relatore-06-scur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0" cy="361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spacing w:after="240" w:before="60"/>
        <w:jc w:val="center"/>
      </w:pPr>
      <w:r>
        <w:rPr>
          <w:i/>
          <w:iCs/>
          <w:color w:val="5B6475"/>
          <w:sz w:val="18"/>
          <w:szCs w:val="18"/>
        </w:rPr>
        <w:t xml:space="preserve">La vista relatore in aspetto scuro, durante le domande del pubblico.</w:t>
      </w:r>
    </w:p>
    <w:p>
      <w:pPr>
        <w:pStyle w:val="Heading1"/>
      </w:pPr>
      <w:r>
        <w:t xml:space="preserve">3. Il quiz</w:t>
      </w:r>
    </w:p>
    <w:p>
      <w:pPr>
        <w:spacing w:after="120"/>
      </w:pPr>
      <w:r>
        <w:t xml:space="preserve">Quando la regia avvia il quiz, vedi un grande conto alla rovescia. Negli ultimi 5 secondi diventa rosso.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5791200" cy="3619500"/>
            <wp:effectExtent t="0" r="0" b="0" l="0"/>
            <wp:docPr id="51" name="relatore-03-quiz.jpg" descr="relatore-03-quiz.jpg" title="relatore-03-quiz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0" cy="361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spacing w:after="240" w:before="60"/>
        <w:jc w:val="center"/>
      </w:pPr>
      <w:r>
        <w:rPr>
          <w:i/>
          <w:iCs/>
          <w:color w:val="5B6475"/>
          <w:sz w:val="18"/>
          <w:szCs w:val="18"/>
        </w:rPr>
        <w:t xml:space="preserve">Il tempo rimasto del quiz e le risposte che arrivano.</w:t>
      </w:r>
    </w:p>
    <w:p>
      <w:pPr>
        <w:pStyle w:val="Heading1"/>
      </w:pPr>
      <w:r>
        <w:t xml:space="preserve">4. Le domande del pubblico</w:t>
      </w:r>
    </w:p>
    <w:p>
      <w:pPr>
        <w:spacing w:after="120"/>
      </w:pPr>
      <w:r>
        <w:t xml:space="preserve">Nella colonna di destra trovi le domande approvate dalla regia, ordinate per numero di voti. In cima è indicato quante ne sono ancora in attesa di moderazione.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▶ Mostra in sala</w:t>
      </w:r>
      <w:r>
        <w:t xml:space="preserve">: porta la domanda sullo schermo, così tutti la leggono mentre rispondi.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b/>
          <w:bCs/>
        </w:rPr>
        <w:t xml:space="preserve">✓ Risposta data</w:t>
      </w:r>
      <w:r>
        <w:t xml:space="preserve">: la sposta in fondo e la toglie dallo schermo.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5791200" cy="3619500"/>
            <wp:effectExtent t="0" r="0" b="0" l="0"/>
            <wp:docPr id="52" name="relatore-04-domande.jpg" descr="relatore-04-domande.jpg" title="relatore-04-domand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0" cy="361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spacing w:after="240" w:before="60"/>
        <w:jc w:val="center"/>
      </w:pPr>
      <w:r>
        <w:rPr>
          <w:i/>
          <w:iCs/>
          <w:color w:val="5B6475"/>
          <w:sz w:val="18"/>
          <w:szCs w:val="18"/>
        </w:rPr>
        <w:t xml:space="preserve">Le domande approvate, ordinate per voti.</w:t>
      </w:r>
    </w:p>
    <w:p>
      <w:pPr>
        <w:keepNext/>
        <w:spacing w:before="120"/>
        <w:jc w:val="center"/>
      </w:pPr>
      <w:r>
        <w:drawing>
          <wp:inline distT="0" distB="0" distL="0" distR="0">
            <wp:extent cx="5791200" cy="3619500"/>
            <wp:effectExtent t="0" r="0" b="0" l="0"/>
            <wp:docPr id="53" name="relatore-05-in-onda.jpg" descr="relatore-05-in-onda.jpg" title="relatore-05-in-ond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0" cy="361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/>
        <w:spacing w:after="240" w:before="60"/>
        <w:jc w:val="center"/>
      </w:pPr>
      <w:r>
        <w:rPr>
          <w:i/>
          <w:iCs/>
          <w:color w:val="5B6475"/>
          <w:sz w:val="18"/>
          <w:szCs w:val="18"/>
        </w:rPr>
        <w:t xml:space="preserve">La domanda scelta è in onda: bordo rosso e anteprima aggiornata.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3E87C8" w:sz="6"/>
              <w:left w:val="single" w:color="3E87C8" w:sz="6"/>
              <w:bottom w:val="single" w:color="3E87C8" w:sz="6"/>
              <w:right w:val="single" w:color="3E87C8" w:sz="6"/>
            </w:tcBorders>
            <w:shd w:fill="EEF4FB" w:color="auto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after="120"/>
            </w:pPr>
            <w:r>
              <w:t xml:space="preserve">Come relatore non puoi modificare la scaletta, aprire o chiudere votazioni o approvare domande: lo fa la regia. Così una scelta fatta per sbaglio sul palco non cambia lo svolgimento dell’evento.</w:t>
            </w:r>
          </w:p>
        </w:tc>
      </w:tr>
    </w:tbl>
    <w:p>
      <w:pPr>
        <w:spacing w:after="80"/>
      </w:pPr>
    </w:p>
    <w:p>
      <w:pPr>
        <w:pStyle w:val="Heading1"/>
      </w:pPr>
      <w:r>
        <w:t xml:space="preserve">5. Consigli per la conduzione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Annuncia ogni domanda leggendola ad alta voce e lascia 30-60 secondi per rispondere: il numero di rispondenti ti dice quando la sala ha votato.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Commenta i risultati prima che la regia li sveli: crea attesa e coinvolgimento.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Nelle domande del pubblico parti dalle più votate e cita il numero di voti: incoraggia altri a partecipare.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Prima di iniziare ricorda il codice dell’evento e che la partecipazione è anonima.</w:t>
      </w:r>
    </w:p>
    <w:sectPr>
      <w:headerReference w:type="default" r:id="rId6"/>
      <w:headerReference w:type="first" r:id="rId7"/>
      <w:footerReference w:type="default" r:id="rId8"/>
      <w:footerReference w:type="first" r:id="rId9"/>
      <w:pgSz w:w="11906" w:h="16838" w:orient="portrait"/>
      <w:pgMar w:top="1134" w:right="1134" w:bottom="1134" w:left="1134" w:header="708" w:footer="708" w:gutter="0"/>
      <w:pgNumTyp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638"/>
      </w:tabs>
    </w:pPr>
    <w:r>
      <w:rPr>
        <w:color w:val="5B6475"/>
        <w:sz w:val="17"/>
        <w:szCs w:val="17"/>
      </w:rPr>
      <w:t xml:space="preserve">Platea by Opinio.online</w:t>
    </w:r>
    <w:r>
      <w:rPr>
        <w:color w:val="5B6475"/>
        <w:sz w:val="17"/>
        <w:szCs w:val="17"/>
      </w:rPr>
      <w:t xml:space="preserve">	Pagina </w:t>
      <w:fldChar w:fldCharType="begin"/>
      <w:instrText xml:space="preserve">PAGE</w:instrText>
      <w:fldChar w:fldCharType="separate"/>
      <w:fldChar w:fldCharType="end"/>
      <w:t xml:space="preserve"> di </w:t>
      <w:fldChar w:fldCharType="begin"/>
      <w:instrText xml:space="preserve">NUMPAGES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5B6475"/>
        <w:sz w:val="17"/>
        <w:szCs w:val="17"/>
      </w:rPr>
      <w:t xml:space="preserve">Platea · Guida per i relatori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40" w:hanging="270"/>
      </w:pPr>
      <w:rPr>
        <w:color w:val="3E87C8"/>
      </w:rPr>
    </w:lvl>
    <w:lvl w:ilvl="1" w:tentative="1">
      <w:start w:val="1"/>
      <w:numFmt w:val="bullet"/>
      <w:lvlText w:val="–"/>
      <w:lvlJc w:val="left"/>
      <w:pPr>
        <w:ind w:left="1000" w:hanging="27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40" w:hanging="320"/>
      </w:pPr>
      <w:rPr>
        <w:b/>
        <w:bCs/>
        <w:color w:val="0A124D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updateFields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B2233"/>
        <w:sz w:val="22"/>
        <w:szCs w:val="22"/>
      </w:rPr>
    </w:rPrDefault>
    <w:pPrDefault>
      <w:pPr>
        <w:spacing w:line="288" w:lineRule="auto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spacing w:after="160" w:before="420"/>
      <w:outlineLvl w:val="0"/>
    </w:pPr>
    <w:rPr>
      <w:rFonts w:ascii="Calibri" w:cs="Calibri" w:eastAsia="Calibri" w:hAnsi="Calibri"/>
      <w:b/>
      <w:bCs/>
      <w:color w:val="0A124D"/>
      <w:sz w:val="34"/>
      <w:szCs w:val="34"/>
    </w:rPr>
  </w:style>
  <w:style w:type="paragraph" w:styleId="Heading2">
    <w:name w:val="Heading 2"/>
    <w:basedOn w:val="Normal"/>
    <w:next w:val="Normal"/>
    <w:qFormat/>
    <w:pPr>
      <w:keepNext/>
      <w:spacing w:after="120" w:before="300"/>
      <w:outlineLvl w:val="1"/>
    </w:pPr>
    <w:rPr>
      <w:rFonts w:ascii="Calibri" w:cs="Calibri" w:eastAsia="Calibri" w:hAnsi="Calibri"/>
      <w:b/>
      <w:bCs/>
      <w:color w:val="3E87C8"/>
      <w:sz w:val="27"/>
      <w:szCs w:val="27"/>
    </w:rPr>
  </w:style>
  <w:style w:type="paragraph" w:styleId="Heading3">
    <w:name w:val="Heading 3"/>
    <w:basedOn w:val="Normal"/>
    <w:next w:val="Normal"/>
    <w:qFormat/>
    <w:pPr>
      <w:keepNext/>
      <w:spacing w:after="80" w:before="220"/>
      <w:outlineLvl w:val="2"/>
    </w:pPr>
    <w:rPr>
      <w:rFonts w:ascii="Calibri" w:cs="Calibri" w:eastAsia="Calibri" w:hAnsi="Calibri"/>
      <w:b/>
      <w:bCs/>
      <w:color w:val="0A124D"/>
      <w:sz w:val="23"/>
      <w:szCs w:val="23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theme" Target="theme/theme1.xml"/><Relationship Id="rId11" Type="http://schemas.openxmlformats.org/officeDocument/2006/relationships/image" Target="media/f9aec943dcab06a7b418c959754c0d599ef49c37.png"/><Relationship Id="rId12" Type="http://schemas.openxmlformats.org/officeDocument/2006/relationships/image" Target="media/ce3a29d68412f49feec820bcfb1cfeb556147cf5.jpg"/><Relationship Id="rId13" Type="http://schemas.openxmlformats.org/officeDocument/2006/relationships/image" Target="media/d863599fe2a98e4cf47cfc1bf5ba78075fbaa084.jpg"/><Relationship Id="rId14" Type="http://schemas.openxmlformats.org/officeDocument/2006/relationships/image" Target="media/c5caa4d53076638d43a17d7ff8a60cc985a0a2ff.jpg"/><Relationship Id="rId15" Type="http://schemas.openxmlformats.org/officeDocument/2006/relationships/image" Target="media/05ea6997ad13ad5a18f377bb22979c4ff05bb7a9.jpg"/><Relationship Id="rId16" Type="http://schemas.openxmlformats.org/officeDocument/2006/relationships/image" Target="media/a09a58604b9050410761570ce4d756de2a462d4c.jpg"/><Relationship Id="rId17" Type="http://schemas.openxmlformats.org/officeDocument/2006/relationships/image" Target="media/a6a96606a338cdc746cf9e22a9230e879b9dfb84.jp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 vista relatore · Platea</dc:title>
  <dc:creator>Opinio.online</dc:creator>
  <dc:description>Mentre parli al pubblico, la vista relatore ti mostra cosa c’è sullo schermo di sala, le note preparate dalla regia, il tempo del quiz e le domande del pubblico già approvate.</dc:description>
  <cp:lastModifiedBy>Un-named</cp:lastModifiedBy>
  <cp:revision>1</cp:revision>
  <dcterms:created xsi:type="dcterms:W3CDTF">2026-10-25T10:49:46.201Z</dcterms:created>
  <dcterms:modified xsi:type="dcterms:W3CDTF">2026-10-25T10:49:46.201Z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