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0" w:before="600"/>
      </w:pPr>
      <w:r>
        <w:drawing>
          <wp:inline distT="0" distB="0" distL="0" distR="0">
            <wp:extent cx="2857500" cy="733425"/>
            <wp:effectExtent t="0" r="0" b="0" l="0"/>
            <wp:docPr id="9" name="platea-orizzontale-positivo.png" descr="platea-orizzontale-positivo.png" title="platea-orizzontale-positiv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/>
      </w:pPr>
      <w:r>
        <w:rPr>
          <w:b/>
          <w:bCs/>
          <w:color w:val="3E87C8"/>
          <w:spacing w:val="40"/>
          <w:sz w:val="22"/>
          <w:szCs w:val="22"/>
        </w:rPr>
        <w:t xml:space="preserve">GUIDA RAPIDA · PROVA</w:t>
      </w:r>
    </w:p>
    <w:p>
      <w:pPr>
        <w:spacing w:after="280"/>
      </w:pPr>
      <w:r>
        <w:rPr>
          <w:rFonts w:ascii="Calibri" w:cs="Calibri" w:eastAsia="Calibri" w:hAnsi="Calibri"/>
          <w:b/>
          <w:bCs/>
          <w:color w:val="0A124D"/>
          <w:sz w:val="60"/>
          <w:szCs w:val="60"/>
        </w:rPr>
        <w:t xml:space="preserve">Provare Platea in 15 minuti</w:t>
      </w:r>
    </w:p>
    <w:p>
      <w:pPr>
        <w:spacing w:after="1600"/>
      </w:pPr>
      <w:r>
        <w:rPr>
          <w:color w:val="5B6475"/>
          <w:sz w:val="26"/>
          <w:szCs w:val="26"/>
        </w:rPr>
        <w:t xml:space="preserve">Un percorso guidato per provare tutti i profili con le utenze già pronte: amministratore, regia, relatore e pubblico, su un solo PC e uno smartphone.</w:t>
      </w:r>
    </w:p>
    <w:p>
      <w:pPr>
        <w:spacing w:after="60"/>
      </w:pPr>
      <w:r>
        <w:rPr>
          <w:b/>
          <w:bCs/>
          <w:color w:val="1B2233"/>
          <w:sz w:val="20"/>
          <w:szCs w:val="20"/>
        </w:rPr>
        <w:t xml:space="preserve">Prodotto: </w:t>
      </w:r>
      <w:r>
        <w:rPr>
          <w:color w:val="5B6475"/>
          <w:sz w:val="20"/>
          <w:szCs w:val="20"/>
        </w:rPr>
        <w:t xml:space="preserve">Platea by Opinio.online</w:t>
      </w:r>
    </w:p>
    <w:p>
      <w:pPr>
        <w:spacing w:after="60"/>
      </w:pPr>
      <w:r>
        <w:rPr>
          <w:b/>
          <w:bCs/>
          <w:color w:val="1B2233"/>
          <w:sz w:val="20"/>
          <w:szCs w:val="20"/>
        </w:rPr>
        <w:t xml:space="preserve">Versione: </w:t>
      </w:r>
      <w:r>
        <w:rPr>
          <w:color w:val="5B6475"/>
          <w:sz w:val="20"/>
          <w:szCs w:val="20"/>
        </w:rPr>
        <w:t xml:space="preserve">1.0 · ottobre 2026</w:t>
      </w:r>
    </w:p>
    <w:p>
      <w:pPr>
        <w:spacing w:after="60"/>
      </w:pPr>
      <w:r>
        <w:rPr>
          <w:b/>
          <w:bCs/>
          <w:color w:val="1B2233"/>
          <w:sz w:val="20"/>
          <w:szCs w:val="20"/>
        </w:rPr>
        <w:t xml:space="preserve">Sito: </w:t>
      </w:r>
      <w:r>
        <w:rPr>
          <w:color w:val="5B6475"/>
          <w:sz w:val="20"/>
          <w:szCs w:val="20"/>
        </w:rPr>
        <w:t xml:space="preserve">www.opinio.online</w:t>
      </w:r>
    </w:p>
    <w:p>
      <w:r>
        <w:br w:type="page"/>
      </w:r>
    </w:p>
    <w:p>
      <w:pPr>
        <w:spacing w:after="200"/>
      </w:pPr>
      <w:r>
        <w:rPr>
          <w:b/>
          <w:bCs/>
          <w:color w:val="0A124D"/>
          <w:sz w:val="36"/>
          <w:szCs w:val="36"/>
        </w:rPr>
        <w:t xml:space="preserve">Indice</w:t>
      </w:r>
    </w:p>
    <w:sdt>
      <w:sdtPr>
        <w:alias w:val="Indice"/>
      </w:sdtPr>
      <w:sdtContent>
        <w:p>
          <w:r>
            <w:fldChar w:fldCharType="begin" w:dirty="true"/>
            <w:instrText xml:space="preserve">TOC \h \o "1-2"</w:instrText>
            <w:fldChar w:fldCharType="separate"/>
          </w:r>
        </w:p>
        <w:p>
          <w:r>
            <w:fldChar w:fldCharType="end"/>
          </w:r>
        </w:p>
      </w:sdtContent>
    </w:sdt>
    <w:p>
      <w:r>
        <w:br w:type="page"/>
      </w:r>
    </w:p>
    <w:p>
      <w:pPr>
        <w:pStyle w:val="Heading1"/>
      </w:pPr>
      <w:r>
        <w:t xml:space="preserve">1. Avviare Platea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Versione locale (Windows)</w:t>
      </w:r>
      <w:r>
        <w:t xml:space="preserve">: estrai la cartella «Platea-Python» e fai doppio clic su </w:t>
      </w:r>
      <w:r>
        <w:rPr>
          <w:b/>
          <w:bCs/>
        </w:rPr>
        <w:t xml:space="preserve">Avvia Platea.bat</w:t>
      </w:r>
      <w:r>
        <w:t xml:space="preserve">. Si apre una finestra con indirizzi, utenze e codice dell’evento, poi la pagina di accesso nel browser.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Server di prova</w:t>
      </w:r>
      <w:r>
        <w:t xml:space="preserve">: avvia Platea con la variabile </w:t>
      </w:r>
      <w:r>
        <w:rPr>
          <w:rFonts w:ascii="Consolas" w:cs="Consolas" w:eastAsia="Consolas" w:hAnsi="Consolas"/>
          <w:sz w:val="20"/>
          <w:szCs w:val="20"/>
          <w:shd w:fill="EEF1F5" w:color="auto" w:val="clear"/>
        </w:rPr>
        <w:t xml:space="preserve">UTENTI_PROVA=1</w:t>
      </w:r>
      <w:r>
        <w:t xml:space="preserve">. Le utenze compaiono nel registro all’avvio e nella pagina di accesso.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Senza installare nulla</w:t>
      </w:r>
      <w:r>
        <w:t xml:space="preserve">: la demo online mostra tutte le viste in una pagina, con un server simulato nel browser.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5791200" cy="3619500"/>
            <wp:effectExtent t="0" r="0" b="0" l="0"/>
            <wp:docPr id="1" name="site-01-home.jpg" descr="site-01-home.jpg" title="site-01-hom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0" cy="361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spacing w:after="240" w:before="60"/>
        <w:jc w:val="center"/>
      </w:pPr>
      <w:r>
        <w:rPr>
          <w:i/>
          <w:iCs/>
          <w:color w:val="5B6475"/>
          <w:sz w:val="18"/>
          <w:szCs w:val="18"/>
        </w:rPr>
        <w:t xml:space="preserve">La pagina iniziale: il pubblico entra con il codice, lo staff con «Accedi».</w:t>
      </w:r>
    </w:p>
    <w:p>
      <w:pPr>
        <w:pStyle w:val="Heading1"/>
      </w:pPr>
      <w:r>
        <w:t xml:space="preserve">2. Le utenze di prova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50"/>
        <w:gridCol w:w="1450"/>
        <w:gridCol w:w="1450"/>
        <w:gridCol w:w="5288"/>
      </w:tblGrid>
      <w:tr>
        <w:trPr>
          <w:cantSplit/>
          <w:tblHeader/>
        </w:trPr>
        <w:tc>
          <w:tcPr>
            <w:tcW w:type="dxa" w:w="1450"/>
            <w:tcBorders>
              <w:top w:val="single" w:color="D5DCE6" w:sz="4"/>
              <w:left w:val="single" w:color="D5DCE6" w:sz="4"/>
              <w:bottom w:val="single" w:color="D5DCE6" w:sz="4"/>
              <w:right w:val="single" w:color="D5DCE6" w:sz="4"/>
            </w:tcBorders>
            <w:shd w:fill="0A124D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Profilo</w:t>
            </w:r>
          </w:p>
        </w:tc>
        <w:tc>
          <w:tcPr>
            <w:tcW w:type="dxa" w:w="1450"/>
            <w:tcBorders>
              <w:top w:val="single" w:color="D5DCE6" w:sz="4"/>
              <w:left w:val="single" w:color="D5DCE6" w:sz="4"/>
              <w:bottom w:val="single" w:color="D5DCE6" w:sz="4"/>
              <w:right w:val="single" w:color="D5DCE6" w:sz="4"/>
            </w:tcBorders>
            <w:shd w:fill="0A124D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Nome utente</w:t>
            </w:r>
          </w:p>
        </w:tc>
        <w:tc>
          <w:tcPr>
            <w:tcW w:type="dxa" w:w="1450"/>
            <w:tcBorders>
              <w:top w:val="single" w:color="D5DCE6" w:sz="4"/>
              <w:left w:val="single" w:color="D5DCE6" w:sz="4"/>
              <w:bottom w:val="single" w:color="D5DCE6" w:sz="4"/>
              <w:right w:val="single" w:color="D5DCE6" w:sz="4"/>
            </w:tcBorders>
            <w:shd w:fill="0A124D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Password</w:t>
            </w:r>
          </w:p>
        </w:tc>
        <w:tc>
          <w:tcPr>
            <w:tcW w:type="dxa" w:w="5288"/>
            <w:tcBorders>
              <w:top w:val="single" w:color="D5DCE6" w:sz="4"/>
              <w:left w:val="single" w:color="D5DCE6" w:sz="4"/>
              <w:bottom w:val="single" w:color="D5DCE6" w:sz="4"/>
              <w:right w:val="single" w:color="D5DCE6" w:sz="4"/>
            </w:tcBorders>
            <w:shd w:fill="0A124D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Cosa può fare</w:t>
            </w:r>
          </w:p>
        </w:tc>
      </w:tr>
      <w:tr>
        <w:trPr>
          <w:cantSplit/>
          <w:tblHeader w:val="off"/>
        </w:trPr>
        <w:tc>
          <w:tcPr>
            <w:tcW w:type="dxa" w:w="1450"/>
            <w:tcBorders>
              <w:top w:val="single" w:color="D5DCE6" w:sz="4"/>
              <w:left w:val="single" w:color="D5DCE6" w:sz="4"/>
              <w:bottom w:val="single" w:color="D5DCE6" w:sz="4"/>
              <w:right w:val="single" w:color="D5DC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Amministratore</w:t>
            </w:r>
          </w:p>
        </w:tc>
        <w:tc>
          <w:tcPr>
            <w:tcW w:type="dxa" w:w="1450"/>
            <w:tcBorders>
              <w:top w:val="single" w:color="D5DCE6" w:sz="4"/>
              <w:left w:val="single" w:color="D5DCE6" w:sz="4"/>
              <w:bottom w:val="single" w:color="D5DCE6" w:sz="4"/>
              <w:right w:val="single" w:color="D5DC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b w:val="false"/>
                <w:bCs w:val="false"/>
                <w:sz w:val="17"/>
                <w:szCs w:val="17"/>
                <w:shd w:fill="EEF1F5" w:color="auto" w:val="clear"/>
              </w:rPr>
              <w:t xml:space="preserve">admin</w:t>
            </w:r>
          </w:p>
        </w:tc>
        <w:tc>
          <w:tcPr>
            <w:tcW w:type="dxa" w:w="1450"/>
            <w:tcBorders>
              <w:top w:val="single" w:color="D5DCE6" w:sz="4"/>
              <w:left w:val="single" w:color="D5DCE6" w:sz="4"/>
              <w:bottom w:val="single" w:color="D5DCE6" w:sz="4"/>
              <w:right w:val="single" w:color="D5DC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b w:val="false"/>
                <w:bCs w:val="false"/>
                <w:sz w:val="17"/>
                <w:szCs w:val="17"/>
                <w:shd w:fill="EEF1F5" w:color="auto" w:val="clear"/>
              </w:rPr>
              <w:t xml:space="preserve">Admin2026</w:t>
            </w:r>
          </w:p>
        </w:tc>
        <w:tc>
          <w:tcPr>
            <w:tcW w:type="dxa" w:w="5288"/>
            <w:tcBorders>
              <w:top w:val="single" w:color="D5DCE6" w:sz="4"/>
              <w:left w:val="single" w:color="D5DCE6" w:sz="4"/>
              <w:bottom w:val="single" w:color="D5DCE6" w:sz="4"/>
              <w:right w:val="single" w:color="D5DC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>Utenti, ruoli, password; vede tutti gli eventi</w:t>
            </w:r>
          </w:p>
        </w:tc>
      </w:tr>
      <w:tr>
        <w:trPr>
          <w:cantSplit/>
          <w:tblHeader w:val="off"/>
        </w:trPr>
        <w:tc>
          <w:tcPr>
            <w:tcW w:type="dxa" w:w="1450"/>
            <w:tcBorders>
              <w:top w:val="single" w:color="D5DCE6" w:sz="4"/>
              <w:left w:val="single" w:color="D5DCE6" w:sz="4"/>
              <w:bottom w:val="single" w:color="D5DCE6" w:sz="4"/>
              <w:right w:val="single" w:color="D5DC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Regia</w:t>
            </w:r>
          </w:p>
        </w:tc>
        <w:tc>
          <w:tcPr>
            <w:tcW w:type="dxa" w:w="1450"/>
            <w:tcBorders>
              <w:top w:val="single" w:color="D5DCE6" w:sz="4"/>
              <w:left w:val="single" w:color="D5DCE6" w:sz="4"/>
              <w:bottom w:val="single" w:color="D5DCE6" w:sz="4"/>
              <w:right w:val="single" w:color="D5DC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b w:val="false"/>
                <w:bCs w:val="false"/>
                <w:sz w:val="17"/>
                <w:szCs w:val="17"/>
                <w:shd w:fill="EEF1F5" w:color="auto" w:val="clear"/>
              </w:rPr>
              <w:t xml:space="preserve">regia</w:t>
            </w:r>
          </w:p>
        </w:tc>
        <w:tc>
          <w:tcPr>
            <w:tcW w:type="dxa" w:w="1450"/>
            <w:tcBorders>
              <w:top w:val="single" w:color="D5DCE6" w:sz="4"/>
              <w:left w:val="single" w:color="D5DCE6" w:sz="4"/>
              <w:bottom w:val="single" w:color="D5DCE6" w:sz="4"/>
              <w:right w:val="single" w:color="D5DC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b w:val="false"/>
                <w:bCs w:val="false"/>
                <w:sz w:val="17"/>
                <w:szCs w:val="17"/>
                <w:shd w:fill="EEF1F5" w:color="auto" w:val="clear"/>
              </w:rPr>
              <w:t xml:space="preserve">Regia2026</w:t>
            </w:r>
          </w:p>
        </w:tc>
        <w:tc>
          <w:tcPr>
            <w:tcW w:type="dxa" w:w="5288"/>
            <w:tcBorders>
              <w:top w:val="single" w:color="D5DCE6" w:sz="4"/>
              <w:left w:val="single" w:color="D5DCE6" w:sz="4"/>
              <w:bottom w:val="single" w:color="D5DCE6" w:sz="4"/>
              <w:right w:val="single" w:color="D5DC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>Giulia Bianchi, responsabile dell’«Evento di prova»: conduce, modera, report</w:t>
            </w:r>
          </w:p>
        </w:tc>
      </w:tr>
      <w:tr>
        <w:trPr>
          <w:cantSplit/>
          <w:tblHeader w:val="off"/>
        </w:trPr>
        <w:tc>
          <w:tcPr>
            <w:tcW w:type="dxa" w:w="1450"/>
            <w:tcBorders>
              <w:top w:val="single" w:color="D5DCE6" w:sz="4"/>
              <w:left w:val="single" w:color="D5DCE6" w:sz="4"/>
              <w:bottom w:val="single" w:color="D5DCE6" w:sz="4"/>
              <w:right w:val="single" w:color="D5DC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Regia</w:t>
            </w:r>
          </w:p>
        </w:tc>
        <w:tc>
          <w:tcPr>
            <w:tcW w:type="dxa" w:w="1450"/>
            <w:tcBorders>
              <w:top w:val="single" w:color="D5DCE6" w:sz="4"/>
              <w:left w:val="single" w:color="D5DCE6" w:sz="4"/>
              <w:bottom w:val="single" w:color="D5DCE6" w:sz="4"/>
              <w:right w:val="single" w:color="D5DC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b w:val="false"/>
                <w:bCs w:val="false"/>
                <w:sz w:val="17"/>
                <w:szCs w:val="17"/>
                <w:shd w:fill="EEF1F5" w:color="auto" w:val="clear"/>
              </w:rPr>
              <w:t xml:space="preserve">regia2</w:t>
            </w:r>
          </w:p>
        </w:tc>
        <w:tc>
          <w:tcPr>
            <w:tcW w:type="dxa" w:w="1450"/>
            <w:tcBorders>
              <w:top w:val="single" w:color="D5DCE6" w:sz="4"/>
              <w:left w:val="single" w:color="D5DCE6" w:sz="4"/>
              <w:bottom w:val="single" w:color="D5DCE6" w:sz="4"/>
              <w:right w:val="single" w:color="D5DC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b w:val="false"/>
                <w:bCs w:val="false"/>
                <w:sz w:val="17"/>
                <w:szCs w:val="17"/>
                <w:shd w:fill="EEF1F5" w:color="auto" w:val="clear"/>
              </w:rPr>
              <w:t xml:space="preserve">Regia2026</w:t>
            </w:r>
          </w:p>
        </w:tc>
        <w:tc>
          <w:tcPr>
            <w:tcW w:type="dxa" w:w="5288"/>
            <w:tcBorders>
              <w:top w:val="single" w:color="D5DCE6" w:sz="4"/>
              <w:left w:val="single" w:color="D5DCE6" w:sz="4"/>
              <w:bottom w:val="single" w:color="D5DCE6" w:sz="4"/>
              <w:right w:val="single" w:color="D5DC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>Paolo Neri, secondo operatore nella squadra di regia</w:t>
            </w:r>
          </w:p>
        </w:tc>
      </w:tr>
      <w:tr>
        <w:trPr>
          <w:cantSplit/>
          <w:tblHeader w:val="off"/>
        </w:trPr>
        <w:tc>
          <w:tcPr>
            <w:tcW w:type="dxa" w:w="1450"/>
            <w:tcBorders>
              <w:top w:val="single" w:color="D5DCE6" w:sz="4"/>
              <w:left w:val="single" w:color="D5DCE6" w:sz="4"/>
              <w:bottom w:val="single" w:color="D5DCE6" w:sz="4"/>
              <w:right w:val="single" w:color="D5DC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Relatore</w:t>
            </w:r>
          </w:p>
        </w:tc>
        <w:tc>
          <w:tcPr>
            <w:tcW w:type="dxa" w:w="1450"/>
            <w:tcBorders>
              <w:top w:val="single" w:color="D5DCE6" w:sz="4"/>
              <w:left w:val="single" w:color="D5DCE6" w:sz="4"/>
              <w:bottom w:val="single" w:color="D5DCE6" w:sz="4"/>
              <w:right w:val="single" w:color="D5DC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b w:val="false"/>
                <w:bCs w:val="false"/>
                <w:sz w:val="17"/>
                <w:szCs w:val="17"/>
                <w:shd w:fill="EEF1F5" w:color="auto" w:val="clear"/>
              </w:rPr>
              <w:t xml:space="preserve">relatore</w:t>
            </w:r>
          </w:p>
        </w:tc>
        <w:tc>
          <w:tcPr>
            <w:tcW w:type="dxa" w:w="1450"/>
            <w:tcBorders>
              <w:top w:val="single" w:color="D5DCE6" w:sz="4"/>
              <w:left w:val="single" w:color="D5DCE6" w:sz="4"/>
              <w:bottom w:val="single" w:color="D5DCE6" w:sz="4"/>
              <w:right w:val="single" w:color="D5DC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b w:val="false"/>
                <w:bCs w:val="false"/>
                <w:sz w:val="17"/>
                <w:szCs w:val="17"/>
                <w:shd w:fill="EEF1F5" w:color="auto" w:val="clear"/>
              </w:rPr>
              <w:t xml:space="preserve">Relatore2026</w:t>
            </w:r>
          </w:p>
        </w:tc>
        <w:tc>
          <w:tcPr>
            <w:tcW w:type="dxa" w:w="5288"/>
            <w:tcBorders>
              <w:top w:val="single" w:color="D5DCE6" w:sz="4"/>
              <w:left w:val="single" w:color="D5DCE6" w:sz="4"/>
              <w:bottom w:val="single" w:color="D5DCE6" w:sz="4"/>
              <w:right w:val="single" w:color="D5DC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>Mario Rossi: vista relatore e report in sola lettura</w:t>
            </w:r>
          </w:p>
        </w:tc>
      </w:tr>
      <w:tr>
        <w:trPr>
          <w:cantSplit/>
          <w:tblHeader w:val="off"/>
        </w:trPr>
        <w:tc>
          <w:tcPr>
            <w:tcW w:type="dxa" w:w="1450"/>
            <w:tcBorders>
              <w:top w:val="single" w:color="D5DCE6" w:sz="4"/>
              <w:left w:val="single" w:color="D5DCE6" w:sz="4"/>
              <w:bottom w:val="single" w:color="D5DCE6" w:sz="4"/>
              <w:right w:val="single" w:color="D5DC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Relatore</w:t>
            </w:r>
          </w:p>
        </w:tc>
        <w:tc>
          <w:tcPr>
            <w:tcW w:type="dxa" w:w="1450"/>
            <w:tcBorders>
              <w:top w:val="single" w:color="D5DCE6" w:sz="4"/>
              <w:left w:val="single" w:color="D5DCE6" w:sz="4"/>
              <w:bottom w:val="single" w:color="D5DCE6" w:sz="4"/>
              <w:right w:val="single" w:color="D5DC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b w:val="false"/>
                <w:bCs w:val="false"/>
                <w:sz w:val="17"/>
                <w:szCs w:val="17"/>
                <w:shd w:fill="EEF1F5" w:color="auto" w:val="clear"/>
              </w:rPr>
              <w:t xml:space="preserve">relatore2</w:t>
            </w:r>
          </w:p>
        </w:tc>
        <w:tc>
          <w:tcPr>
            <w:tcW w:type="dxa" w:w="1450"/>
            <w:tcBorders>
              <w:top w:val="single" w:color="D5DCE6" w:sz="4"/>
              <w:left w:val="single" w:color="D5DCE6" w:sz="4"/>
              <w:bottom w:val="single" w:color="D5DCE6" w:sz="4"/>
              <w:right w:val="single" w:color="D5DC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b w:val="false"/>
                <w:bCs w:val="false"/>
                <w:sz w:val="17"/>
                <w:szCs w:val="17"/>
                <w:shd w:fill="EEF1F5" w:color="auto" w:val="clear"/>
              </w:rPr>
              <w:t xml:space="preserve">Relatore2026</w:t>
            </w:r>
          </w:p>
        </w:tc>
        <w:tc>
          <w:tcPr>
            <w:tcW w:type="dxa" w:w="5288"/>
            <w:tcBorders>
              <w:top w:val="single" w:color="D5DCE6" w:sz="4"/>
              <w:left w:val="single" w:color="D5DCE6" w:sz="4"/>
              <w:bottom w:val="single" w:color="D5DCE6" w:sz="4"/>
              <w:right w:val="single" w:color="D5DC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>Laura Verdi: come sopra</w:t>
            </w:r>
          </w:p>
        </w:tc>
      </w:tr>
      <w:tr>
        <w:trPr>
          <w:cantSplit/>
          <w:tblHeader w:val="off"/>
        </w:trPr>
        <w:tc>
          <w:tcPr>
            <w:tcW w:type="dxa" w:w="1450"/>
            <w:tcBorders>
              <w:top w:val="single" w:color="D5DCE6" w:sz="4"/>
              <w:left w:val="single" w:color="D5DCE6" w:sz="4"/>
              <w:bottom w:val="single" w:color="D5DCE6" w:sz="4"/>
              <w:right w:val="single" w:color="D5DC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Pubblico</w:t>
            </w:r>
          </w:p>
        </w:tc>
        <w:tc>
          <w:tcPr>
            <w:tcW w:type="dxa" w:w="2900"/>
            <w:gridSpan w:val="2"/>
            <w:tcBorders>
              <w:top w:val="single" w:color="D5DCE6" w:sz="4"/>
              <w:left w:val="single" w:color="D5DCE6" w:sz="4"/>
              <w:bottom w:val="single" w:color="D5DCE6" w:sz="4"/>
              <w:right w:val="single" w:color="D5DC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>nessun account</w:t>
            </w:r>
          </w:p>
        </w:tc>
        <w:tc>
          <w:tcPr>
            <w:tcW w:type="dxa" w:w="5288"/>
            <w:tcBorders>
              <w:top w:val="single" w:color="D5DCE6" w:sz="4"/>
              <w:left w:val="single" w:color="D5DCE6" w:sz="4"/>
              <w:bottom w:val="single" w:color="D5DCE6" w:sz="4"/>
              <w:right w:val="single" w:color="D5DC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>Codice a 6 cifre dell’evento, mostrato all’avvio e nella pagina di accesso</w:t>
            </w:r>
          </w:p>
        </w:tc>
      </w:tr>
    </w:tbl>
    <w:p>
      <w:pPr>
        <w:spacing w:after="120"/>
      </w:pPr>
    </w:p>
    <w:p>
      <w:pPr>
        <w:spacing w:after="120"/>
      </w:pPr>
      <w:r>
        <w:t xml:space="preserve">Nella pagina di accesso le utenze sono elencate in un riquadro: un clic su una riga compila nome utente e password.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4819650" cy="3619500"/>
            <wp:effectExtent t="0" r="0" b="0" l="0"/>
            <wp:docPr id="2" name="regia-01-accesso.jpg" descr="regia-01-accesso.jpg" title="regia-01-access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9650" cy="361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spacing w:after="240" w:before="60"/>
        <w:jc w:val="center"/>
      </w:pPr>
      <w:r>
        <w:rPr>
          <w:i/>
          <w:iCs/>
          <w:color w:val="5B6475"/>
          <w:sz w:val="18"/>
          <w:szCs w:val="18"/>
        </w:rPr>
        <w:t xml:space="preserve">La pagina di accesso con il riquadro «Utenze di prova».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F5A524" w:sz="6"/>
              <w:left w:val="single" w:color="F5A524" w:sz="6"/>
              <w:bottom w:val="single" w:color="F5A524" w:sz="6"/>
              <w:right w:val="single" w:color="F5A524" w:sz="6"/>
            </w:tcBorders>
            <w:shd w:fill="FFF4E0" w:color="auto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after="120"/>
            </w:pPr>
            <w:r>
              <w:t xml:space="preserve">Le utenze di prova servono solo per provare il sistema: le password sono note a tutti. In produzione non attivarle e crea utenti personali.</w:t>
            </w:r>
          </w:p>
        </w:tc>
      </w:tr>
    </w:tbl>
    <w:p>
      <w:pPr>
        <w:spacing w:after="80"/>
      </w:pPr>
    </w:p>
    <w:p>
      <w:pPr>
        <w:pStyle w:val="Heading1"/>
      </w:pPr>
      <w:r>
        <w:t xml:space="preserve">3. Preparare le postazioni</w:t>
      </w:r>
    </w:p>
    <w:p>
      <w:pPr>
        <w:spacing w:after="120"/>
      </w:pPr>
      <w:r>
        <w:t xml:space="preserve">Per vedere tutti i ruoli insieme bastano un PC e uno smartphone sulla stessa rete Wi‑Fi. Le sessioni di utenti diversi si separano usando browser diversi, oppure una finestra normale e una in incognito.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06"/>
        <w:gridCol w:w="4176"/>
        <w:gridCol w:w="3856"/>
      </w:tblGrid>
      <w:tr>
        <w:trPr>
          <w:cantSplit/>
          <w:tblHeader/>
        </w:trPr>
        <w:tc>
          <w:tcPr>
            <w:tcW w:type="dxa" w:w="1606"/>
            <w:tcBorders>
              <w:top w:val="single" w:color="D5DCE6" w:sz="4"/>
              <w:left w:val="single" w:color="D5DCE6" w:sz="4"/>
              <w:bottom w:val="single" w:color="D5DCE6" w:sz="4"/>
              <w:right w:val="single" w:color="D5DCE6" w:sz="4"/>
            </w:tcBorders>
            <w:shd w:fill="0A124D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Postazione</w:t>
            </w:r>
          </w:p>
        </w:tc>
        <w:tc>
          <w:tcPr>
            <w:tcW w:type="dxa" w:w="4176"/>
            <w:tcBorders>
              <w:top w:val="single" w:color="D5DCE6" w:sz="4"/>
              <w:left w:val="single" w:color="D5DCE6" w:sz="4"/>
              <w:bottom w:val="single" w:color="D5DCE6" w:sz="4"/>
              <w:right w:val="single" w:color="D5DCE6" w:sz="4"/>
            </w:tcBorders>
            <w:shd w:fill="0A124D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Dove</w:t>
            </w:r>
          </w:p>
        </w:tc>
        <w:tc>
          <w:tcPr>
            <w:tcW w:type="dxa" w:w="3856"/>
            <w:tcBorders>
              <w:top w:val="single" w:color="D5DCE6" w:sz="4"/>
              <w:left w:val="single" w:color="D5DCE6" w:sz="4"/>
              <w:bottom w:val="single" w:color="D5DCE6" w:sz="4"/>
              <w:right w:val="single" w:color="D5DCE6" w:sz="4"/>
            </w:tcBorders>
            <w:shd w:fill="0A124D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Indirizzo</w:t>
            </w:r>
          </w:p>
        </w:tc>
      </w:tr>
      <w:tr>
        <w:trPr>
          <w:cantSplit/>
          <w:tblHeader w:val="off"/>
        </w:trPr>
        <w:tc>
          <w:tcPr>
            <w:tcW w:type="dxa" w:w="1606"/>
            <w:tcBorders>
              <w:top w:val="single" w:color="D5DCE6" w:sz="4"/>
              <w:left w:val="single" w:color="D5DCE6" w:sz="4"/>
              <w:bottom w:val="single" w:color="D5DCE6" w:sz="4"/>
              <w:right w:val="single" w:color="D5DC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Regia</w:t>
            </w:r>
          </w:p>
        </w:tc>
        <w:tc>
          <w:tcPr>
            <w:tcW w:type="dxa" w:w="4176"/>
            <w:tcBorders>
              <w:top w:val="single" w:color="D5DCE6" w:sz="4"/>
              <w:left w:val="single" w:color="D5DCE6" w:sz="4"/>
              <w:bottom w:val="single" w:color="D5DCE6" w:sz="4"/>
              <w:right w:val="single" w:color="D5DC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>PC, browser principale</w:t>
            </w:r>
          </w:p>
        </w:tc>
        <w:tc>
          <w:tcPr>
            <w:tcW w:type="dxa" w:w="3856"/>
            <w:tcBorders>
              <w:top w:val="single" w:color="D5DCE6" w:sz="4"/>
              <w:left w:val="single" w:color="D5DCE6" w:sz="4"/>
              <w:bottom w:val="single" w:color="D5DCE6" w:sz="4"/>
              <w:right w:val="single" w:color="D5DC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b w:val="false"/>
                <w:bCs w:val="false"/>
                <w:sz w:val="17"/>
                <w:szCs w:val="17"/>
                <w:shd w:fill="EEF1F5" w:color="auto" w:val="clear"/>
              </w:rPr>
              <w:t xml:space="preserve">/accedi</w:t>
            </w:r>
            <w:r>
              <w:rPr>
                <w:b w:val="false"/>
                <w:bCs w:val="false"/>
                <w:sz w:val="19"/>
                <w:szCs w:val="19"/>
              </w:rPr>
              <w:t xml:space="preserve"> con </w:t>
            </w:r>
            <w:r>
              <w:rPr>
                <w:b/>
                <w:bCs/>
                <w:sz w:val="19"/>
                <w:szCs w:val="19"/>
              </w:rPr>
              <w:t xml:space="preserve">regia</w:t>
            </w:r>
          </w:p>
        </w:tc>
      </w:tr>
      <w:tr>
        <w:trPr>
          <w:cantSplit/>
          <w:tblHeader w:val="off"/>
        </w:trPr>
        <w:tc>
          <w:tcPr>
            <w:tcW w:type="dxa" w:w="1606"/>
            <w:tcBorders>
              <w:top w:val="single" w:color="D5DCE6" w:sz="4"/>
              <w:left w:val="single" w:color="D5DCE6" w:sz="4"/>
              <w:bottom w:val="single" w:color="D5DCE6" w:sz="4"/>
              <w:right w:val="single" w:color="D5DC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Schermo di sala</w:t>
            </w:r>
          </w:p>
        </w:tc>
        <w:tc>
          <w:tcPr>
            <w:tcW w:type="dxa" w:w="4176"/>
            <w:tcBorders>
              <w:top w:val="single" w:color="D5DCE6" w:sz="4"/>
              <w:left w:val="single" w:color="D5DCE6" w:sz="4"/>
              <w:bottom w:val="single" w:color="D5DCE6" w:sz="4"/>
              <w:right w:val="single" w:color="D5DC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>PC, seconda finestra o secondo monitor</w:t>
            </w:r>
          </w:p>
        </w:tc>
        <w:tc>
          <w:tcPr>
            <w:tcW w:type="dxa" w:w="3856"/>
            <w:tcBorders>
              <w:top w:val="single" w:color="D5DCE6" w:sz="4"/>
              <w:left w:val="single" w:color="D5DCE6" w:sz="4"/>
              <w:bottom w:val="single" w:color="D5DCE6" w:sz="4"/>
              <w:right w:val="single" w:color="D5DC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>pulsante </w:t>
            </w:r>
            <w:r>
              <w:rPr>
                <w:b/>
                <w:bCs/>
                <w:sz w:val="19"/>
                <w:szCs w:val="19"/>
              </w:rPr>
              <w:t xml:space="preserve">Schermo</w:t>
            </w:r>
            <w:r>
              <w:rPr>
                <w:b w:val="false"/>
                <w:bCs w:val="false"/>
                <w:sz w:val="19"/>
                <w:szCs w:val="19"/>
              </w:rPr>
              <w:t xml:space="preserve"> della regia</w:t>
            </w:r>
          </w:p>
        </w:tc>
      </w:tr>
      <w:tr>
        <w:trPr>
          <w:cantSplit/>
          <w:tblHeader w:val="off"/>
        </w:trPr>
        <w:tc>
          <w:tcPr>
            <w:tcW w:type="dxa" w:w="1606"/>
            <w:tcBorders>
              <w:top w:val="single" w:color="D5DCE6" w:sz="4"/>
              <w:left w:val="single" w:color="D5DCE6" w:sz="4"/>
              <w:bottom w:val="single" w:color="D5DCE6" w:sz="4"/>
              <w:right w:val="single" w:color="D5DC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Relatore</w:t>
            </w:r>
          </w:p>
        </w:tc>
        <w:tc>
          <w:tcPr>
            <w:tcW w:type="dxa" w:w="4176"/>
            <w:tcBorders>
              <w:top w:val="single" w:color="D5DCE6" w:sz="4"/>
              <w:left w:val="single" w:color="D5DCE6" w:sz="4"/>
              <w:bottom w:val="single" w:color="D5DCE6" w:sz="4"/>
              <w:right w:val="single" w:color="D5DC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>PC, finestra in incognito (o un tablet)</w:t>
            </w:r>
          </w:p>
        </w:tc>
        <w:tc>
          <w:tcPr>
            <w:tcW w:type="dxa" w:w="3856"/>
            <w:tcBorders>
              <w:top w:val="single" w:color="D5DCE6" w:sz="4"/>
              <w:left w:val="single" w:color="D5DCE6" w:sz="4"/>
              <w:bottom w:val="single" w:color="D5DCE6" w:sz="4"/>
              <w:right w:val="single" w:color="D5DC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b w:val="false"/>
                <w:bCs w:val="false"/>
                <w:sz w:val="17"/>
                <w:szCs w:val="17"/>
                <w:shd w:fill="EEF1F5" w:color="auto" w:val="clear"/>
              </w:rPr>
              <w:t xml:space="preserve">/accedi</w:t>
            </w:r>
            <w:r>
              <w:rPr>
                <w:b w:val="false"/>
                <w:bCs w:val="false"/>
                <w:sz w:val="19"/>
                <w:szCs w:val="19"/>
              </w:rPr>
              <w:t xml:space="preserve"> con </w:t>
            </w:r>
            <w:r>
              <w:rPr>
                <w:b/>
                <w:bCs/>
                <w:sz w:val="19"/>
                <w:szCs w:val="19"/>
              </w:rPr>
              <w:t xml:space="preserve">relatore</w:t>
            </w:r>
          </w:p>
        </w:tc>
      </w:tr>
      <w:tr>
        <w:trPr>
          <w:cantSplit/>
          <w:tblHeader w:val="off"/>
        </w:trPr>
        <w:tc>
          <w:tcPr>
            <w:tcW w:type="dxa" w:w="1606"/>
            <w:tcBorders>
              <w:top w:val="single" w:color="D5DCE6" w:sz="4"/>
              <w:left w:val="single" w:color="D5DCE6" w:sz="4"/>
              <w:bottom w:val="single" w:color="D5DCE6" w:sz="4"/>
              <w:right w:val="single" w:color="D5DC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Pubblico</w:t>
            </w:r>
          </w:p>
        </w:tc>
        <w:tc>
          <w:tcPr>
            <w:tcW w:type="dxa" w:w="4176"/>
            <w:tcBorders>
              <w:top w:val="single" w:color="D5DCE6" w:sz="4"/>
              <w:left w:val="single" w:color="D5DCE6" w:sz="4"/>
              <w:bottom w:val="single" w:color="D5DCE6" w:sz="4"/>
              <w:right w:val="single" w:color="D5DC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>Smartphone</w:t>
            </w:r>
          </w:p>
        </w:tc>
        <w:tc>
          <w:tcPr>
            <w:tcW w:type="dxa" w:w="3856"/>
            <w:tcBorders>
              <w:top w:val="single" w:color="D5DCE6" w:sz="4"/>
              <w:left w:val="single" w:color="D5DCE6" w:sz="4"/>
              <w:bottom w:val="single" w:color="D5DCE6" w:sz="4"/>
              <w:right w:val="single" w:color="D5DC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>inquadra il QR sullo schermo di sala</w:t>
            </w:r>
          </w:p>
        </w:tc>
      </w:tr>
    </w:tbl>
    <w:p>
      <w:pPr>
        <w:spacing w:after="120"/>
      </w:pPr>
    </w:p>
    <w:p>
      <w:pPr>
        <w:pStyle w:val="Heading1"/>
      </w:pPr>
      <w:r>
        <w:t xml:space="preserve">4. Il percorso di prova</w:t>
      </w:r>
    </w:p>
    <w:p>
      <w:pPr>
        <w:pStyle w:val="Heading2"/>
      </w:pPr>
      <w:r>
        <w:t xml:space="preserve">Amministratore (2 minuti)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Accedi come </w:t>
      </w:r>
      <w:r>
        <w:rPr>
          <w:b/>
          <w:bCs/>
        </w:rPr>
        <w:t xml:space="preserve">admin</w:t>
      </w:r>
      <w:r>
        <w:t xml:space="preserve"> e apri </w:t>
      </w:r>
      <w:r>
        <w:rPr>
          <w:b/>
          <w:bCs/>
        </w:rPr>
        <w:t xml:space="preserve">Utenti</w:t>
      </w:r>
      <w:r>
        <w:t xml:space="preserve">: trovi le utenze di prova con ruolo e stato.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Crea un utente con </w:t>
      </w:r>
      <w:r>
        <w:rPr>
          <w:b/>
          <w:bCs/>
        </w:rPr>
        <w:t xml:space="preserve">+ Nuovo utente</w:t>
      </w:r>
      <w:r>
        <w:t xml:space="preserve">, ruolo Relatore. Accedendo con quell’utente in una finestra in incognito, Platea chiede di scegliere una nuova password.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5791200" cy="3619500"/>
            <wp:effectExtent t="0" r="0" b="0" l="0"/>
            <wp:docPr id="3" name="admin-02-utenti.jpg" descr="admin-02-utenti.jpg" title="admin-02-utent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0" cy="361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spacing w:after="240" w:before="60"/>
        <w:jc w:val="center"/>
      </w:pPr>
      <w:r>
        <w:rPr>
          <w:i/>
          <w:iCs/>
          <w:color w:val="5B6475"/>
          <w:sz w:val="18"/>
          <w:szCs w:val="18"/>
        </w:rPr>
        <w:t xml:space="preserve">L’elenco degli utenti dopo la creazione di Chiara Esposito, ancora «al primo accesso».</w:t>
      </w:r>
    </w:p>
    <w:p>
      <w:pPr>
        <w:pStyle w:val="Heading2"/>
      </w:pPr>
      <w:r>
        <w:t xml:space="preserve">Regia (5 minuti)</w:t>
      </w:r>
    </w:p>
    <w:p>
      <w:pPr>
        <w:pStyle w:val="ListParagraph"/>
        <w:numPr>
          <w:ilvl w:val="0"/>
          <w:numId w:val="4"/>
        </w:numPr>
        <w:spacing w:after="60"/>
      </w:pPr>
      <w:r>
        <w:t xml:space="preserve">Esci e accedi come </w:t>
      </w:r>
      <w:r>
        <w:rPr>
          <w:b/>
          <w:bCs/>
        </w:rPr>
        <w:t xml:space="preserve">regia</w:t>
      </w:r>
      <w:r>
        <w:t xml:space="preserve">. In «Eventi che gestisci» c’è l’</w:t>
      </w:r>
      <w:r>
        <w:rPr>
          <w:b/>
          <w:bCs/>
        </w:rPr>
        <w:t xml:space="preserve">Evento di prova</w:t>
      </w:r>
      <w:r>
        <w:t xml:space="preserve">: premi </w:t>
      </w:r>
      <w:r>
        <w:rPr>
          <w:b/>
          <w:bCs/>
        </w:rPr>
        <w:t xml:space="preserve">Apri regia</w:t>
      </w:r>
      <w:r>
        <w:t xml:space="preserve">.</w:t>
      </w:r>
    </w:p>
    <w:p>
      <w:pPr>
        <w:pStyle w:val="ListParagraph"/>
        <w:numPr>
          <w:ilvl w:val="0"/>
          <w:numId w:val="4"/>
        </w:numPr>
        <w:spacing w:after="60"/>
      </w:pPr>
      <w:r>
        <w:t xml:space="preserve">Premi </w:t>
      </w:r>
      <w:r>
        <w:rPr>
          <w:b/>
          <w:bCs/>
        </w:rPr>
        <w:t xml:space="preserve">Schermo</w:t>
      </w:r>
      <w:r>
        <w:t xml:space="preserve"> e porta la finestra sul secondo monitor (doppio clic per il tutto schermo).</w:t>
      </w:r>
    </w:p>
    <w:p>
      <w:pPr>
        <w:pStyle w:val="ListParagraph"/>
        <w:numPr>
          <w:ilvl w:val="0"/>
          <w:numId w:val="4"/>
        </w:numPr>
        <w:spacing w:after="60"/>
      </w:pPr>
      <w:r>
        <w:t xml:space="preserve">Nella barra del pubblico simulato premi </w:t>
      </w:r>
      <w:r>
        <w:rPr>
          <w:b/>
          <w:bCs/>
        </w:rPr>
        <w:t xml:space="preserve">+50</w:t>
      </w:r>
      <w:r>
        <w:t xml:space="preserve">: 50 partecipanti virtuali risponderanno da soli.</w:t>
      </w:r>
    </w:p>
    <w:p>
      <w:pPr>
        <w:pStyle w:val="ListParagraph"/>
        <w:numPr>
          <w:ilvl w:val="0"/>
          <w:numId w:val="4"/>
        </w:numPr>
        <w:spacing w:after="60"/>
      </w:pPr>
      <w:r>
        <w:t xml:space="preserve">Seleziona il sondaggio «Il welfare aziendale…» e premi </w:t>
      </w:r>
      <w:r>
        <w:rPr>
          <w:b/>
          <w:bCs/>
        </w:rPr>
        <w:t xml:space="preserve">Manda in onda la selezionata</w:t>
      </w:r>
      <w:r>
        <w:t xml:space="preserve">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5791200" cy="3619500"/>
            <wp:effectExtent t="0" r="0" b="0" l="0"/>
            <wp:docPr id="4" name="regia-07-in-onda.jpg" descr="regia-07-in-onda.jpg" title="regia-07-in-ond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0" cy="361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spacing w:after="240" w:before="60"/>
        <w:jc w:val="center"/>
      </w:pPr>
      <w:r>
        <w:rPr>
          <w:i/>
          <w:iCs/>
          <w:color w:val="5B6475"/>
          <w:sz w:val="18"/>
          <w:szCs w:val="18"/>
        </w:rPr>
        <w:t xml:space="preserve">La console con il sondaggio in onda e i comandi evidenziati.</w:t>
      </w:r>
    </w:p>
    <w:p>
      <w:pPr>
        <w:pStyle w:val="Heading2"/>
      </w:pPr>
      <w:r>
        <w:t xml:space="preserve">Pubblico (3 minuti)</w:t>
      </w:r>
    </w:p>
    <w:p>
      <w:pPr>
        <w:pStyle w:val="ListParagraph"/>
        <w:numPr>
          <w:ilvl w:val="0"/>
          <w:numId w:val="5"/>
        </w:numPr>
        <w:spacing w:after="60"/>
      </w:pPr>
      <w:r>
        <w:t xml:space="preserve">Inquadra il QR dello schermo con lo smartphone e rispondi al sondaggio.</w:t>
      </w:r>
    </w:p>
    <w:p>
      <w:pPr>
        <w:pStyle w:val="ListParagraph"/>
        <w:numPr>
          <w:ilvl w:val="0"/>
          <w:numId w:val="5"/>
        </w:numPr>
        <w:spacing w:after="60"/>
      </w:pPr>
      <w:r>
        <w:t xml:space="preserve">Dalla regia manda in onda la word cloud e scrivi una parola dal telefono: la vedrai crescere sullo schermo.</w:t>
      </w:r>
    </w:p>
    <w:p>
      <w:pPr>
        <w:pStyle w:val="ListParagraph"/>
        <w:numPr>
          <w:ilvl w:val="0"/>
          <w:numId w:val="5"/>
        </w:numPr>
        <w:spacing w:after="60"/>
      </w:pPr>
      <w:r>
        <w:t xml:space="preserve">Manda in onda il quiz, scrivi un nickname dal telefono e premi </w:t>
      </w:r>
      <w:r>
        <w:rPr>
          <w:b/>
          <w:bCs/>
        </w:rPr>
        <w:t xml:space="preserve">Avvia</w:t>
      </w:r>
      <w:r>
        <w:t xml:space="preserve"> in regia; rispondi entro il tempo, poi </w:t>
      </w:r>
      <w:r>
        <w:rPr>
          <w:b/>
          <w:bCs/>
        </w:rPr>
        <w:t xml:space="preserve">Mostra soluzione</w:t>
      </w:r>
      <w:r>
        <w:t xml:space="preserve"> e </w:t>
      </w:r>
      <w:r>
        <w:rPr>
          <w:b/>
          <w:bCs/>
        </w:rPr>
        <w:t xml:space="preserve">Classifica</w:t>
      </w:r>
      <w:r>
        <w:t xml:space="preserve">.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top"/>
          </w:tcPr>
          <w:p>
            <w:pPr>
              <w:keepNext/>
              <w:jc w:val="center"/>
            </w:pPr>
            <w:r>
              <w:drawing>
                <wp:inline distT="0" distB="0" distL="0" distR="0">
                  <wp:extent cx="1714500" cy="3429000"/>
                  <wp:effectExtent t="0" r="0" b="0" l="0"/>
                  <wp:docPr id="5" name="votante-03-sondaggio.jpg" descr="votante-03-sondaggio.jpg" title="votante-03-sondaggi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0" cy="3429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top"/>
          </w:tcPr>
          <w:p>
            <w:pPr>
              <w:keepNext/>
              <w:jc w:val="center"/>
            </w:pPr>
            <w:r>
              <w:drawing>
                <wp:inline distT="0" distB="0" distL="0" distR="0">
                  <wp:extent cx="1714500" cy="3429000"/>
                  <wp:effectExtent t="0" r="0" b="0" l="0"/>
                  <wp:docPr id="6" name="votante-07-quiz.jpg" descr="votante-07-quiz.jpg" title="votante-07-quiz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0" cy="3429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Lines/>
        <w:spacing w:after="240" w:before="60"/>
        <w:jc w:val="center"/>
      </w:pPr>
      <w:r>
        <w:rPr>
          <w:i/>
          <w:iCs/>
          <w:color w:val="5B6475"/>
          <w:sz w:val="18"/>
          <w:szCs w:val="18"/>
        </w:rPr>
        <w:t xml:space="preserve">Sondaggio e quiz dallo smartphone.</w:t>
      </w:r>
    </w:p>
    <w:p>
      <w:pPr>
        <w:pStyle w:val="Heading2"/>
      </w:pPr>
      <w:r>
        <w:t xml:space="preserve">Relatore (3 minuti)</w:t>
      </w:r>
    </w:p>
    <w:p>
      <w:pPr>
        <w:pStyle w:val="ListParagraph"/>
        <w:numPr>
          <w:ilvl w:val="0"/>
          <w:numId w:val="6"/>
        </w:numPr>
        <w:spacing w:after="60"/>
      </w:pPr>
      <w:r>
        <w:t xml:space="preserve">In una finestra in incognito accedi come </w:t>
      </w:r>
      <w:r>
        <w:rPr>
          <w:b/>
          <w:bCs/>
        </w:rPr>
        <w:t xml:space="preserve">relatore</w:t>
      </w:r>
      <w:r>
        <w:t xml:space="preserve"> e apri la </w:t>
      </w:r>
      <w:r>
        <w:rPr>
          <w:b/>
          <w:bCs/>
        </w:rPr>
        <w:t xml:space="preserve">Vista relatore</w:t>
      </w:r>
      <w:r>
        <w:t xml:space="preserve">: vedi l’anteprima dello schermo, le note e l’attività successiva.</w:t>
      </w:r>
    </w:p>
    <w:p>
      <w:pPr>
        <w:pStyle w:val="ListParagraph"/>
        <w:numPr>
          <w:ilvl w:val="0"/>
          <w:numId w:val="6"/>
        </w:numPr>
        <w:spacing w:after="60"/>
      </w:pPr>
      <w:r>
        <w:t xml:space="preserve">Dalla regia manda in onda «Domande ai relatori». Dal telefono invia una domanda; in regia approvala nel pannello di destra.</w:t>
      </w:r>
    </w:p>
    <w:p>
      <w:pPr>
        <w:pStyle w:val="ListParagraph"/>
        <w:numPr>
          <w:ilvl w:val="0"/>
          <w:numId w:val="6"/>
        </w:numPr>
        <w:spacing w:after="60"/>
      </w:pPr>
      <w:r>
        <w:t xml:space="preserve">Nella vista relatore premi </w:t>
      </w:r>
      <w:r>
        <w:rPr>
          <w:b/>
          <w:bCs/>
        </w:rPr>
        <w:t xml:space="preserve">▶ Mostra in sala</w:t>
      </w:r>
      <w:r>
        <w:t xml:space="preserve">: la domanda compare sullo schermo.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5791200" cy="3619500"/>
            <wp:effectExtent t="0" r="0" b="0" l="0"/>
            <wp:docPr id="7" name="relatore-05-in-onda.jpg" descr="relatore-05-in-onda.jpg" title="relatore-05-in-ond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0" cy="361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spacing w:after="240" w:before="60"/>
        <w:jc w:val="center"/>
      </w:pPr>
      <w:r>
        <w:rPr>
          <w:i/>
          <w:iCs/>
          <w:color w:val="5B6475"/>
          <w:sz w:val="18"/>
          <w:szCs w:val="18"/>
        </w:rPr>
        <w:t xml:space="preserve">Il relatore manda in sala una domanda approvata.</w:t>
      </w:r>
    </w:p>
    <w:p>
      <w:pPr>
        <w:pStyle w:val="Heading2"/>
      </w:pPr>
      <w:r>
        <w:t xml:space="preserve">Report (2 minuti)</w:t>
      </w:r>
    </w:p>
    <w:p>
      <w:pPr>
        <w:spacing w:after="120"/>
      </w:pPr>
      <w:r>
        <w:t xml:space="preserve">Dalla regia premi </w:t>
      </w:r>
      <w:r>
        <w:rPr>
          <w:b/>
          <w:bCs/>
        </w:rPr>
        <w:t xml:space="preserve">Report</w:t>
      </w:r>
      <w:r>
        <w:t xml:space="preserve">, scegli </w:t>
      </w:r>
      <w:r>
        <w:rPr>
          <w:b/>
          <w:bCs/>
        </w:rPr>
        <w:t xml:space="preserve">Dati di prova</w:t>
      </w:r>
      <w:r>
        <w:t xml:space="preserve"> e prova le esportazioni in PDF, PowerPoint e CSV.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5791200" cy="3619500"/>
            <wp:effectExtent t="0" r="0" b="0" l="0"/>
            <wp:docPr id="8" name="regia-12-report.jpg" descr="regia-12-report.jpg" title="regia-12-repor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0" cy="361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spacing w:after="240" w:before="60"/>
        <w:jc w:val="center"/>
      </w:pPr>
      <w:r>
        <w:rPr>
          <w:i/>
          <w:iCs/>
          <w:color w:val="5B6475"/>
          <w:sz w:val="18"/>
          <w:szCs w:val="18"/>
        </w:rPr>
        <w:t xml:space="preserve">Il Data Report con i dati della prova.</w:t>
      </w:r>
    </w:p>
    <w:p>
      <w:pPr>
        <w:pStyle w:val="Heading1"/>
      </w:pPr>
      <w:r>
        <w:t xml:space="preserve">5. Cosa verificare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130"/>
        <w:gridCol w:w="5508"/>
      </w:tblGrid>
      <w:tr>
        <w:trPr>
          <w:cantSplit/>
          <w:tblHeader/>
        </w:trPr>
        <w:tc>
          <w:tcPr>
            <w:tcW w:type="dxa" w:w="4130"/>
            <w:tcBorders>
              <w:top w:val="single" w:color="D5DCE6" w:sz="4"/>
              <w:left w:val="single" w:color="D5DCE6" w:sz="4"/>
              <w:bottom w:val="single" w:color="D5DCE6" w:sz="4"/>
              <w:right w:val="single" w:color="D5DCE6" w:sz="4"/>
            </w:tcBorders>
            <w:shd w:fill="0A124D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Verifica</w:t>
            </w:r>
          </w:p>
        </w:tc>
        <w:tc>
          <w:tcPr>
            <w:tcW w:type="dxa" w:w="5508"/>
            <w:tcBorders>
              <w:top w:val="single" w:color="D5DCE6" w:sz="4"/>
              <w:left w:val="single" w:color="D5DCE6" w:sz="4"/>
              <w:bottom w:val="single" w:color="D5DCE6" w:sz="4"/>
              <w:right w:val="single" w:color="D5DCE6" w:sz="4"/>
            </w:tcBorders>
            <w:shd w:fill="0A124D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Risultato atteso</w:t>
            </w:r>
          </w:p>
        </w:tc>
      </w:tr>
      <w:tr>
        <w:trPr>
          <w:cantSplit/>
          <w:tblHeader w:val="off"/>
        </w:trPr>
        <w:tc>
          <w:tcPr>
            <w:tcW w:type="dxa" w:w="4130"/>
            <w:tcBorders>
              <w:top w:val="single" w:color="D5DCE6" w:sz="4"/>
              <w:left w:val="single" w:color="D5DCE6" w:sz="4"/>
              <w:bottom w:val="single" w:color="D5DCE6" w:sz="4"/>
              <w:right w:val="single" w:color="D5DC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Il relatore apre </w:t>
            </w:r>
            <w:r>
              <w:rPr>
                <w:rFonts w:ascii="Consolas" w:cs="Consolas" w:eastAsia="Consolas" w:hAnsi="Consolas"/>
                <w:sz w:val="17"/>
                <w:szCs w:val="17"/>
                <w:shd w:fill="EEF1F5" w:color="auto" w:val="clear"/>
              </w:rPr>
              <w:t xml:space="preserve">/admin/&lt;id evento&gt;</w:t>
            </w:r>
          </w:p>
        </w:tc>
        <w:tc>
          <w:tcPr>
            <w:tcW w:type="dxa" w:w="5508"/>
            <w:tcBorders>
              <w:top w:val="single" w:color="D5DCE6" w:sz="4"/>
              <w:left w:val="single" w:color="D5DCE6" w:sz="4"/>
              <w:bottom w:val="single" w:color="D5DCE6" w:sz="4"/>
              <w:right w:val="single" w:color="D5DC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>Accesso negato: la console è riservata alla regia</w:t>
            </w:r>
          </w:p>
        </w:tc>
      </w:tr>
      <w:tr>
        <w:trPr>
          <w:cantSplit/>
          <w:tblHeader w:val="off"/>
        </w:trPr>
        <w:tc>
          <w:tcPr>
            <w:tcW w:type="dxa" w:w="4130"/>
            <w:tcBorders>
              <w:top w:val="single" w:color="D5DCE6" w:sz="4"/>
              <w:left w:val="single" w:color="D5DCE6" w:sz="4"/>
              <w:bottom w:val="single" w:color="D5DCE6" w:sz="4"/>
              <w:right w:val="single" w:color="D5DC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b/>
                <w:bCs/>
                <w:sz w:val="19"/>
                <w:szCs w:val="19"/>
              </w:rPr>
              <w:t xml:space="preserve">regia2</w:t>
            </w:r>
            <w:r>
              <w:rPr>
                <w:sz w:val="19"/>
                <w:szCs w:val="19"/>
              </w:rPr>
              <w:t xml:space="preserve"> accede</w:t>
            </w:r>
          </w:p>
        </w:tc>
        <w:tc>
          <w:tcPr>
            <w:tcW w:type="dxa" w:w="5508"/>
            <w:tcBorders>
              <w:top w:val="single" w:color="D5DCE6" w:sz="4"/>
              <w:left w:val="single" w:color="D5DCE6" w:sz="4"/>
              <w:bottom w:val="single" w:color="D5DCE6" w:sz="4"/>
              <w:right w:val="single" w:color="D5DC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>Vede e conduce l’Evento di prova perché è nella squadra di regia</w:t>
            </w:r>
          </w:p>
        </w:tc>
      </w:tr>
      <w:tr>
        <w:trPr>
          <w:cantSplit/>
          <w:tblHeader w:val="off"/>
        </w:trPr>
        <w:tc>
          <w:tcPr>
            <w:tcW w:type="dxa" w:w="4130"/>
            <w:tcBorders>
              <w:top w:val="single" w:color="D5DCE6" w:sz="4"/>
              <w:left w:val="single" w:color="D5DCE6" w:sz="4"/>
              <w:bottom w:val="single" w:color="D5DCE6" w:sz="4"/>
              <w:right w:val="single" w:color="D5DC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Si cambia tema in Impostazioni</w:t>
            </w:r>
          </w:p>
        </w:tc>
        <w:tc>
          <w:tcPr>
            <w:tcW w:type="dxa" w:w="5508"/>
            <w:tcBorders>
              <w:top w:val="single" w:color="D5DCE6" w:sz="4"/>
              <w:left w:val="single" w:color="D5DCE6" w:sz="4"/>
              <w:bottom w:val="single" w:color="D5DCE6" w:sz="4"/>
              <w:right w:val="single" w:color="D5DC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>Schermo e smartphone cambiano subito aspetto</w:t>
            </w:r>
          </w:p>
        </w:tc>
      </w:tr>
      <w:tr>
        <w:trPr>
          <w:cantSplit/>
          <w:tblHeader w:val="off"/>
        </w:trPr>
        <w:tc>
          <w:tcPr>
            <w:tcW w:type="dxa" w:w="4130"/>
            <w:tcBorders>
              <w:top w:val="single" w:color="D5DCE6" w:sz="4"/>
              <w:left w:val="single" w:color="D5DCE6" w:sz="4"/>
              <w:bottom w:val="single" w:color="D5DCE6" w:sz="4"/>
              <w:right w:val="single" w:color="D5DC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Il telefono perde la rete per qualche secondo</w:t>
            </w:r>
          </w:p>
        </w:tc>
        <w:tc>
          <w:tcPr>
            <w:tcW w:type="dxa" w:w="5508"/>
            <w:tcBorders>
              <w:top w:val="single" w:color="D5DCE6" w:sz="4"/>
              <w:left w:val="single" w:color="D5DCE6" w:sz="4"/>
              <w:bottom w:val="single" w:color="D5DCE6" w:sz="4"/>
              <w:right w:val="single" w:color="D5DC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>La pagina si ricollega da sola</w:t>
            </w:r>
          </w:p>
        </w:tc>
      </w:tr>
      <w:tr>
        <w:trPr>
          <w:cantSplit/>
          <w:tblHeader w:val="off"/>
        </w:trPr>
        <w:tc>
          <w:tcPr>
            <w:tcW w:type="dxa" w:w="4130"/>
            <w:tcBorders>
              <w:top w:val="single" w:color="D5DCE6" w:sz="4"/>
              <w:left w:val="single" w:color="D5DCE6" w:sz="4"/>
              <w:bottom w:val="single" w:color="D5DCE6" w:sz="4"/>
              <w:right w:val="single" w:color="D5DC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Si passa a </w:t>
            </w:r>
            <w:r>
              <w:rPr>
                <w:b/>
                <w:bCs/>
                <w:sz w:val="19"/>
                <w:szCs w:val="19"/>
              </w:rPr>
              <w:t xml:space="preserve">UFFICIALE</w:t>
            </w:r>
          </w:p>
        </w:tc>
        <w:tc>
          <w:tcPr>
            <w:tcW w:type="dxa" w:w="5508"/>
            <w:tcBorders>
              <w:top w:val="single" w:color="D5DCE6" w:sz="4"/>
              <w:left w:val="single" w:color="D5DCE6" w:sz="4"/>
              <w:bottom w:val="single" w:color="D5DCE6" w:sz="4"/>
              <w:right w:val="single" w:color="D5DC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>Il report ufficiale riparte vuoto; i dati di prova restano separati</w:t>
            </w:r>
          </w:p>
        </w:tc>
      </w:tr>
    </w:tbl>
    <w:p>
      <w:pPr>
        <w:spacing w:after="120"/>
      </w:pPr>
    </w:p>
    <w:p>
      <w:pPr>
        <w:pStyle w:val="Heading1"/>
      </w:pPr>
      <w:r>
        <w:t xml:space="preserve">6. Ripartire da zero</w:t>
      </w:r>
    </w:p>
    <w:p>
      <w:pPr>
        <w:spacing w:after="120"/>
      </w:pPr>
      <w:r>
        <w:t xml:space="preserve">Chiudi Platea, cancella la cartella </w:t>
      </w:r>
      <w:r>
        <w:rPr>
          <w:rFonts w:ascii="Consolas" w:cs="Consolas" w:eastAsia="Consolas" w:hAnsi="Consolas"/>
          <w:sz w:val="20"/>
          <w:szCs w:val="20"/>
          <w:shd w:fill="EEF1F5" w:color="auto" w:val="clear"/>
        </w:rPr>
        <w:t xml:space="preserve">data</w:t>
      </w:r>
      <w:r>
        <w:t xml:space="preserve"> e riavvia: tornano le utenze di prova e un nuovo Evento di prova. Per conservare un evento, scarica prima il backup dalle Impostazioni della regia.</w:t>
      </w:r>
    </w:p>
    <w:sectPr>
      <w:headerReference w:type="default" r:id="rId6"/>
      <w:headerReference w:type="first" r:id="rId7"/>
      <w:footerReference w:type="default" r:id="rId8"/>
      <w:footerReference w:type="first" r:id="rId9"/>
      <w:pgSz w:w="11906" w:h="16838" w:orient="portrait"/>
      <w:pgMar w:top="1134" w:right="1134" w:bottom="1134" w:left="1134" w:header="708" w:footer="708" w:gutter="0"/>
      <w:pgNumTyp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638"/>
      </w:tabs>
    </w:pPr>
    <w:r>
      <w:rPr>
        <w:color w:val="5B6475"/>
        <w:sz w:val="17"/>
        <w:szCs w:val="17"/>
      </w:rPr>
      <w:t xml:space="preserve">Platea by Opinio.online</w:t>
    </w:r>
    <w:r>
      <w:rPr>
        <w:color w:val="5B6475"/>
        <w:sz w:val="17"/>
        <w:szCs w:val="17"/>
      </w:rPr>
      <w:t xml:space="preserve">	Pagina </w:t>
      <w:fldChar w:fldCharType="begin"/>
      <w:instrText xml:space="preserve">PAGE</w:instrText>
      <w:fldChar w:fldCharType="separate"/>
      <w:fldChar w:fldCharType="end"/>
      <w:t xml:space="preserve"> di </w:t>
      <w:fldChar w:fldCharType="begin"/>
      <w:instrText xml:space="preserve">NUMPAGES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5B6475"/>
        <w:sz w:val="17"/>
        <w:szCs w:val="17"/>
      </w:rPr>
      <w:t xml:space="preserve">Platea · Guida rapida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40" w:hanging="270"/>
      </w:pPr>
      <w:rPr>
        <w:color w:val="3E87C8"/>
      </w:rPr>
    </w:lvl>
    <w:lvl w:ilvl="1" w:tentative="1">
      <w:start w:val="1"/>
      <w:numFmt w:val="bullet"/>
      <w:lvlText w:val="–"/>
      <w:lvlJc w:val="left"/>
      <w:pPr>
        <w:ind w:left="1000" w:hanging="27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40" w:hanging="320"/>
      </w:pPr>
      <w:rPr>
        <w:b/>
        <w:bCs/>
        <w:color w:val="0A124D"/>
      </w:r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40" w:hanging="320"/>
      </w:pPr>
      <w:rPr>
        <w:b/>
        <w:bCs/>
        <w:color w:val="0A124D"/>
      </w:rPr>
    </w:lvl>
  </w:abstractNum>
  <w:abstractNum w:abstractNumId="5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40" w:hanging="320"/>
      </w:pPr>
      <w:rPr>
        <w:b/>
        <w:bCs/>
        <w:color w:val="0A124D"/>
      </w:rPr>
    </w:lvl>
  </w:abstractNum>
  <w:abstractNum w:abstractNumId="6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40" w:hanging="320"/>
      </w:pPr>
      <w:rPr>
        <w:b/>
        <w:bCs/>
        <w:color w:val="0A124D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4"/>
    <w:lvlOverride w:ilvl="0">
      <w:startOverride w:val="1"/>
    </w:lvlOverride>
  </w:num>
  <w:num w:numId="5">
    <w:abstractNumId w:val="5"/>
    <w:lvlOverride w:ilvl="0">
      <w:startOverride w:val="1"/>
    </w:lvlOverride>
  </w:num>
  <w:num w:numId="6">
    <w:abstractNumId w:val="6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updateFields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B2233"/>
        <w:sz w:val="22"/>
        <w:szCs w:val="22"/>
      </w:rPr>
    </w:rPrDefault>
    <w:pPrDefault>
      <w:pPr>
        <w:spacing w:line="288" w:lineRule="auto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spacing w:after="160" w:before="420"/>
      <w:outlineLvl w:val="0"/>
    </w:pPr>
    <w:rPr>
      <w:rFonts w:ascii="Calibri" w:cs="Calibri" w:eastAsia="Calibri" w:hAnsi="Calibri"/>
      <w:b/>
      <w:bCs/>
      <w:color w:val="0A124D"/>
      <w:sz w:val="34"/>
      <w:szCs w:val="34"/>
    </w:rPr>
  </w:style>
  <w:style w:type="paragraph" w:styleId="Heading2">
    <w:name w:val="Heading 2"/>
    <w:basedOn w:val="Normal"/>
    <w:next w:val="Normal"/>
    <w:qFormat/>
    <w:pPr>
      <w:keepNext/>
      <w:spacing w:after="120" w:before="300"/>
      <w:outlineLvl w:val="1"/>
    </w:pPr>
    <w:rPr>
      <w:rFonts w:ascii="Calibri" w:cs="Calibri" w:eastAsia="Calibri" w:hAnsi="Calibri"/>
      <w:b/>
      <w:bCs/>
      <w:color w:val="3E87C8"/>
      <w:sz w:val="27"/>
      <w:szCs w:val="27"/>
    </w:rPr>
  </w:style>
  <w:style w:type="paragraph" w:styleId="Heading3">
    <w:name w:val="Heading 3"/>
    <w:basedOn w:val="Normal"/>
    <w:next w:val="Normal"/>
    <w:qFormat/>
    <w:pPr>
      <w:keepNext/>
      <w:spacing w:after="80" w:before="220"/>
      <w:outlineLvl w:val="2"/>
    </w:pPr>
    <w:rPr>
      <w:rFonts w:ascii="Calibri" w:cs="Calibri" w:eastAsia="Calibri" w:hAnsi="Calibri"/>
      <w:b/>
      <w:bCs/>
      <w:color w:val="0A124D"/>
      <w:sz w:val="23"/>
      <w:szCs w:val="23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theme" Target="theme/theme1.xml"/><Relationship Id="rId11" Type="http://schemas.openxmlformats.org/officeDocument/2006/relationships/image" Target="media/f9aec943dcab06a7b418c959754c0d599ef49c37.png"/><Relationship Id="rId12" Type="http://schemas.openxmlformats.org/officeDocument/2006/relationships/image" Target="media/dcf5f436904aceb8ecdc0f97cd85e91e06ec8a47.jpg"/><Relationship Id="rId13" Type="http://schemas.openxmlformats.org/officeDocument/2006/relationships/image" Target="media/426220cb66db34012cf9b532ce22a476326481e8.jpg"/><Relationship Id="rId14" Type="http://schemas.openxmlformats.org/officeDocument/2006/relationships/image" Target="media/bf59d2666351fb876cea09f4165e5e3b2c8a2b55.jpg"/><Relationship Id="rId15" Type="http://schemas.openxmlformats.org/officeDocument/2006/relationships/image" Target="media/a49f39923b654304904f077e12235d54f2acff07.jpg"/><Relationship Id="rId16" Type="http://schemas.openxmlformats.org/officeDocument/2006/relationships/image" Target="media/7d9a6103a7224bbd64a22162b9a5314c03d7f39d.jpg"/><Relationship Id="rId17" Type="http://schemas.openxmlformats.org/officeDocument/2006/relationships/image" Target="media/78c4cea821a1a91018f924bd07b9c5c3c17d1ad3.jpg"/><Relationship Id="rId18" Type="http://schemas.openxmlformats.org/officeDocument/2006/relationships/image" Target="media/a6a96606a338cdc746cf9e22a9230e879b9dfb84.jpg"/><Relationship Id="rId19" Type="http://schemas.openxmlformats.org/officeDocument/2006/relationships/image" Target="media/ef6708602544bc8bca7f78c321c2f6927100ef9f.jp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Provare Platea in 15 minuti · Platea</dc:title>
  <dc:creator>Opinio.online</dc:creator>
  <dc:description>Un percorso guidato per provare tutti i profili con le utenze già pronte: amministratore, regia, relatore e pubblico, su un solo PC e uno smartphone.</dc:description>
  <cp:lastModifiedBy>Un-named</cp:lastModifiedBy>
  <cp:revision>1</cp:revision>
  <dcterms:created xsi:type="dcterms:W3CDTF">2026-10-25T10:49:45.073Z</dcterms:created>
  <dcterms:modified xsi:type="dcterms:W3CDTF">2026-10-25T10:49:45.073Z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