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0" w:before="600"/>
      </w:pPr>
      <w:r>
        <w:drawing>
          <wp:inline distT="0" distB="0" distL="0" distR="0">
            <wp:extent cx="2857500" cy="733425"/>
            <wp:effectExtent t="0" r="0" b="0" l="0"/>
            <wp:docPr id="61" name="platea-orizzontale-positivo.png" descr="platea-orizzontale-positivo.png" title="platea-orizzontale-positiv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</w:pPr>
      <w:r>
        <w:rPr>
          <w:b/>
          <w:bCs/>
          <w:color w:val="3E87C8"/>
          <w:spacing w:val="40"/>
          <w:sz w:val="22"/>
          <w:szCs w:val="22"/>
        </w:rPr>
        <w:t xml:space="preserve">GUIDA PER L’AMMINISTRATORE</w:t>
      </w:r>
    </w:p>
    <w:p>
      <w:pPr>
        <w:spacing w:after="280"/>
      </w:pPr>
      <w:r>
        <w:rPr>
          <w:rFonts w:ascii="Calibri" w:cs="Calibri" w:eastAsia="Calibri" w:hAnsi="Calibri"/>
          <w:b/>
          <w:bCs/>
          <w:color w:val="0A124D"/>
          <w:sz w:val="60"/>
          <w:szCs w:val="60"/>
        </w:rPr>
        <w:t xml:space="preserve">Gestire utenti e accessi</w:t>
      </w:r>
    </w:p>
    <w:p>
      <w:pPr>
        <w:spacing w:after="1600"/>
      </w:pPr>
      <w:r>
        <w:rPr>
          <w:color w:val="5B6475"/>
          <w:sz w:val="26"/>
          <w:szCs w:val="26"/>
        </w:rPr>
        <w:t xml:space="preserve">L’amministratore crea gli account di regia e relatori, ne gestisce ruoli e password e vede tutti gli eventi. Il pubblico non ha account.</w:t>
      </w:r>
    </w:p>
    <w:p>
      <w:pPr>
        <w:spacing w:after="60"/>
      </w:pPr>
      <w:r>
        <w:rPr>
          <w:b/>
          <w:bCs/>
          <w:color w:val="1B2233"/>
          <w:sz w:val="20"/>
          <w:szCs w:val="20"/>
        </w:rPr>
        <w:t xml:space="preserve">Prodotto: </w:t>
      </w:r>
      <w:r>
        <w:rPr>
          <w:color w:val="5B6475"/>
          <w:sz w:val="20"/>
          <w:szCs w:val="20"/>
        </w:rPr>
        <w:t xml:space="preserve">Platea by Opinio.online</w:t>
      </w:r>
    </w:p>
    <w:p>
      <w:pPr>
        <w:spacing w:after="60"/>
      </w:pPr>
      <w:r>
        <w:rPr>
          <w:b/>
          <w:bCs/>
          <w:color w:val="1B2233"/>
          <w:sz w:val="20"/>
          <w:szCs w:val="20"/>
        </w:rPr>
        <w:t xml:space="preserve">Versione: </w:t>
      </w:r>
      <w:r>
        <w:rPr>
          <w:color w:val="5B6475"/>
          <w:sz w:val="20"/>
          <w:szCs w:val="20"/>
        </w:rPr>
        <w:t xml:space="preserve">1.0 · ottobre 2026</w:t>
      </w:r>
    </w:p>
    <w:p>
      <w:pPr>
        <w:spacing w:after="60"/>
      </w:pPr>
      <w:r>
        <w:rPr>
          <w:b/>
          <w:bCs/>
          <w:color w:val="1B2233"/>
          <w:sz w:val="20"/>
          <w:szCs w:val="20"/>
        </w:rPr>
        <w:t xml:space="preserve">Sito: </w:t>
      </w:r>
      <w:r>
        <w:rPr>
          <w:color w:val="5B6475"/>
          <w:sz w:val="20"/>
          <w:szCs w:val="20"/>
        </w:rPr>
        <w:t xml:space="preserve">www.opinio.online</w:t>
      </w:r>
    </w:p>
    <w:p>
      <w:r>
        <w:br w:type="page"/>
      </w:r>
    </w:p>
    <w:p>
      <w:pPr>
        <w:spacing w:after="200"/>
      </w:pPr>
      <w:r>
        <w:rPr>
          <w:b/>
          <w:bCs/>
          <w:color w:val="0A124D"/>
          <w:sz w:val="36"/>
          <w:szCs w:val="36"/>
        </w:rPr>
        <w:t xml:space="preserve">Indice</w:t>
      </w:r>
    </w:p>
    <w:sdt>
      <w:sdtPr>
        <w:alias w:val="Indice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Heading1"/>
      </w:pPr>
      <w:r>
        <w:t xml:space="preserve">1. Ruoli e permessi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74"/>
        <w:gridCol w:w="1450"/>
        <w:gridCol w:w="2995"/>
        <w:gridCol w:w="1758"/>
        <w:gridCol w:w="961"/>
      </w:tblGrid>
      <w:tr>
        <w:trPr>
          <w:cantSplit/>
          <w:tblHeader/>
        </w:trPr>
        <w:tc>
          <w:tcPr>
            <w:tcW w:type="dxa" w:w="2474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shd w:fill="0A124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/>
        </w:tc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shd w:fill="0A124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Amministratore</w:t>
            </w:r>
          </w:p>
        </w:tc>
        <w:tc>
          <w:tcPr>
            <w:tcW w:type="dxa" w:w="2995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shd w:fill="0A124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Regia</w:t>
            </w:r>
          </w:p>
        </w:tc>
        <w:tc>
          <w:tcPr>
            <w:tcW w:type="dxa" w:w="1758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shd w:fill="0A124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Relatore</w:t>
            </w:r>
          </w:p>
        </w:tc>
        <w:tc>
          <w:tcPr>
            <w:tcW w:type="dxa" w:w="961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shd w:fill="0A124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Pubblico</w:t>
            </w:r>
          </w:p>
        </w:tc>
      </w:tr>
      <w:tr>
        <w:trPr>
          <w:cantSplit/>
          <w:tblHeader w:val="off"/>
        </w:trPr>
        <w:tc>
          <w:tcPr>
            <w:tcW w:type="dxa" w:w="2474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shd w:fill="E8EE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Accesso</w:t>
            </w:r>
          </w:p>
        </w:tc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Utente e password</w:t>
            </w:r>
          </w:p>
        </w:tc>
        <w:tc>
          <w:tcPr>
            <w:tcW w:type="dxa" w:w="2995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Utente e password</w:t>
            </w:r>
          </w:p>
        </w:tc>
        <w:tc>
          <w:tcPr>
            <w:tcW w:type="dxa" w:w="1758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Utente e password</w:t>
            </w:r>
          </w:p>
        </w:tc>
        <w:tc>
          <w:tcPr>
            <w:tcW w:type="dxa" w:w="961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Codice o QR, anonimo</w:t>
            </w:r>
          </w:p>
        </w:tc>
      </w:tr>
      <w:tr>
        <w:trPr>
          <w:cantSplit/>
          <w:tblHeader w:val="off"/>
        </w:trPr>
        <w:tc>
          <w:tcPr>
            <w:tcW w:type="dxa" w:w="2474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shd w:fill="E8EE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Eventi visibili</w:t>
            </w:r>
          </w:p>
        </w:tc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Tutti</w:t>
            </w:r>
          </w:p>
        </w:tc>
        <w:tc>
          <w:tcPr>
            <w:tcW w:type="dxa" w:w="2995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Creati da sé o in cui è nella squadra di regia</w:t>
            </w:r>
          </w:p>
        </w:tc>
        <w:tc>
          <w:tcPr>
            <w:tcW w:type="dxa" w:w="1758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Quelli in cui è relatore</w:t>
            </w:r>
          </w:p>
        </w:tc>
        <w:tc>
          <w:tcPr>
            <w:tcW w:type="dxa" w:w="961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Quello del codice</w:t>
            </w:r>
          </w:p>
        </w:tc>
      </w:tr>
      <w:tr>
        <w:trPr>
          <w:cantSplit/>
          <w:tblHeader w:val="off"/>
        </w:trPr>
        <w:tc>
          <w:tcPr>
            <w:tcW w:type="dxa" w:w="2474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shd w:fill="E8EE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Creare eventi</w:t>
            </w:r>
          </w:p>
        </w:tc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Sì</w:t>
            </w:r>
          </w:p>
        </w:tc>
        <w:tc>
          <w:tcPr>
            <w:tcW w:type="dxa" w:w="2995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Sì</w:t>
            </w:r>
          </w:p>
        </w:tc>
        <w:tc>
          <w:tcPr>
            <w:tcW w:type="dxa" w:w="1758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No</w:t>
            </w:r>
          </w:p>
        </w:tc>
        <w:tc>
          <w:tcPr>
            <w:tcW w:type="dxa" w:w="961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No</w:t>
            </w:r>
          </w:p>
        </w:tc>
      </w:tr>
      <w:tr>
        <w:trPr>
          <w:cantSplit/>
          <w:tblHeader w:val="off"/>
        </w:trPr>
        <w:tc>
          <w:tcPr>
            <w:tcW w:type="dxa" w:w="2474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shd w:fill="E8EE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Condurre (scaletta, onda, moderazione)</w:t>
            </w:r>
          </w:p>
        </w:tc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Sì</w:t>
            </w:r>
          </w:p>
        </w:tc>
        <w:tc>
          <w:tcPr>
            <w:tcW w:type="dxa" w:w="2995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Sì</w:t>
            </w:r>
          </w:p>
        </w:tc>
        <w:tc>
          <w:tcPr>
            <w:tcW w:type="dxa" w:w="1758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No</w:t>
            </w:r>
          </w:p>
        </w:tc>
        <w:tc>
          <w:tcPr>
            <w:tcW w:type="dxa" w:w="961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No</w:t>
            </w:r>
          </w:p>
        </w:tc>
      </w:tr>
      <w:tr>
        <w:trPr>
          <w:cantSplit/>
          <w:tblHeader w:val="off"/>
        </w:trPr>
        <w:tc>
          <w:tcPr>
            <w:tcW w:type="dxa" w:w="2474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shd w:fill="E8EE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Vista relatore e report</w:t>
            </w:r>
          </w:p>
        </w:tc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Sì</w:t>
            </w:r>
          </w:p>
        </w:tc>
        <w:tc>
          <w:tcPr>
            <w:tcW w:type="dxa" w:w="2995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Sì</w:t>
            </w:r>
          </w:p>
        </w:tc>
        <w:tc>
          <w:tcPr>
            <w:tcW w:type="dxa" w:w="1758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Sì (report in sola lettura)</w:t>
            </w:r>
          </w:p>
        </w:tc>
        <w:tc>
          <w:tcPr>
            <w:tcW w:type="dxa" w:w="961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No</w:t>
            </w:r>
          </w:p>
        </w:tc>
      </w:tr>
      <w:tr>
        <w:trPr>
          <w:cantSplit/>
          <w:tblHeader w:val="off"/>
        </w:trPr>
        <w:tc>
          <w:tcPr>
            <w:tcW w:type="dxa" w:w="2474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shd w:fill="E8EE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Mostrare in sala una domanda approvata</w:t>
            </w:r>
          </w:p>
        </w:tc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Sì</w:t>
            </w:r>
          </w:p>
        </w:tc>
        <w:tc>
          <w:tcPr>
            <w:tcW w:type="dxa" w:w="2995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Sì</w:t>
            </w:r>
          </w:p>
        </w:tc>
        <w:tc>
          <w:tcPr>
            <w:tcW w:type="dxa" w:w="1758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Sì</w:t>
            </w:r>
          </w:p>
        </w:tc>
        <w:tc>
          <w:tcPr>
            <w:tcW w:type="dxa" w:w="961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No</w:t>
            </w:r>
          </w:p>
        </w:tc>
      </w:tr>
      <w:tr>
        <w:trPr>
          <w:cantSplit/>
          <w:tblHeader w:val="off"/>
        </w:trPr>
        <w:tc>
          <w:tcPr>
            <w:tcW w:type="dxa" w:w="2474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shd w:fill="E8EE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Creare utenti</w:t>
            </w:r>
          </w:p>
        </w:tc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Tutti i ruoli</w:t>
            </w:r>
          </w:p>
        </w:tc>
        <w:tc>
          <w:tcPr>
            <w:tcW w:type="dxa" w:w="2995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Solo relatori</w:t>
            </w:r>
          </w:p>
        </w:tc>
        <w:tc>
          <w:tcPr>
            <w:tcW w:type="dxa" w:w="1758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No</w:t>
            </w:r>
          </w:p>
        </w:tc>
        <w:tc>
          <w:tcPr>
            <w:tcW w:type="dxa" w:w="961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No</w:t>
            </w:r>
          </w:p>
        </w:tc>
      </w:tr>
      <w:tr>
        <w:trPr>
          <w:cantSplit/>
          <w:tblHeader w:val="off"/>
        </w:trPr>
        <w:tc>
          <w:tcPr>
            <w:tcW w:type="dxa" w:w="2474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shd w:fill="E8EE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Modificare utenti</w:t>
            </w:r>
          </w:p>
        </w:tc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Tutti</w:t>
            </w:r>
          </w:p>
        </w:tc>
        <w:tc>
          <w:tcPr>
            <w:tcW w:type="dxa" w:w="2995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Solo i relatori creati da sé</w:t>
            </w:r>
          </w:p>
        </w:tc>
        <w:tc>
          <w:tcPr>
            <w:tcW w:type="dxa" w:w="1758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Solo il proprio profilo</w:t>
            </w:r>
          </w:p>
        </w:tc>
        <w:tc>
          <w:tcPr>
            <w:tcW w:type="dxa" w:w="961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2. Primo avvio e utenze di prova</w:t>
      </w:r>
    </w:p>
    <w:p>
      <w:pPr>
        <w:spacing w:after="120"/>
      </w:pPr>
      <w:r>
        <w:t xml:space="preserve">Al primo avvio Platea crea l’utente </w:t>
      </w:r>
      <w:r>
        <w:rPr>
          <w:b/>
          <w:bCs/>
        </w:rPr>
        <w:t xml:space="preserve">admin</w:t>
      </w:r>
      <w:r>
        <w:t xml:space="preserve">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sul </w:t>
      </w:r>
      <w:r>
        <w:rPr>
          <w:b/>
          <w:bCs/>
        </w:rPr>
        <w:t xml:space="preserve">server</w:t>
      </w:r>
      <w:r>
        <w:t xml:space="preserve"> la password iniziale è quella della variabile </w:t>
      </w:r>
      <w:r>
        <w:rPr>
          <w:rFonts w:ascii="Consolas" w:cs="Consolas" w:eastAsia="Consolas" w:hAnsi="Consolas"/>
          <w:sz w:val="20"/>
          <w:szCs w:val="20"/>
          <w:shd w:fill="EEF1F5" w:color="auto" w:val="clear"/>
        </w:rPr>
        <w:t xml:space="preserve">ADMIN_PASSWORD</w:t>
      </w:r>
      <w:r>
        <w:t xml:space="preserve">; se manca, ne viene generata una e mostrata nel registro all’avvio. Al primo accesso Platea chiede di sceglierne subito una nuova;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nella </w:t>
      </w:r>
      <w:r>
        <w:rPr>
          <w:b/>
          <w:bCs/>
        </w:rPr>
        <w:t xml:space="preserve">versione locale</w:t>
      </w:r>
      <w:r>
        <w:t xml:space="preserve"> (e sul server con </w:t>
      </w:r>
      <w:r>
        <w:rPr>
          <w:rFonts w:ascii="Consolas" w:cs="Consolas" w:eastAsia="Consolas" w:hAnsi="Consolas"/>
          <w:sz w:val="20"/>
          <w:szCs w:val="20"/>
          <w:shd w:fill="EEF1F5" w:color="auto" w:val="clear"/>
        </w:rPr>
        <w:t xml:space="preserve">UTENTI_PROVA=1</w:t>
      </w:r>
      <w:r>
        <w:t xml:space="preserve">) vengono create invece le </w:t>
      </w:r>
      <w:r>
        <w:rPr>
          <w:b/>
          <w:bCs/>
        </w:rPr>
        <w:t xml:space="preserve">utenze di prova</w:t>
      </w:r>
      <w:r>
        <w:t xml:space="preserve"> qui sotto, già pronte e senza cambio password.</w:t>
      </w:r>
    </w:p>
    <w:p>
      <w:pPr>
        <w:pStyle w:val="Heading2"/>
      </w:pPr>
      <w:r>
        <w:t xml:space="preserve">Utenze di prova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16"/>
        <w:gridCol w:w="1450"/>
        <w:gridCol w:w="1450"/>
        <w:gridCol w:w="5222"/>
      </w:tblGrid>
      <w:tr>
        <w:trPr>
          <w:cantSplit/>
          <w:tblHeader/>
        </w:trPr>
        <w:tc>
          <w:tcPr>
            <w:tcW w:type="dxa" w:w="1516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shd w:fill="0A124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Profilo</w:t>
            </w:r>
          </w:p>
        </w:tc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shd w:fill="0A124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Nome utente</w:t>
            </w:r>
          </w:p>
        </w:tc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shd w:fill="0A124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Password</w:t>
            </w:r>
          </w:p>
        </w:tc>
        <w:tc>
          <w:tcPr>
            <w:tcW w:type="dxa" w:w="5222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shd w:fill="0A124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Persona</w:t>
            </w:r>
          </w:p>
        </w:tc>
      </w:tr>
      <w:tr>
        <w:trPr>
          <w:cantSplit/>
          <w:tblHeader w:val="off"/>
        </w:trPr>
        <w:tc>
          <w:tcPr>
            <w:tcW w:type="dxa" w:w="1516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Amministratore</w:t>
            </w:r>
          </w:p>
        </w:tc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 w:val="false"/>
                <w:bCs w:val="false"/>
                <w:sz w:val="17"/>
                <w:szCs w:val="17"/>
                <w:shd w:fill="EEF1F5" w:color="auto" w:val="clear"/>
              </w:rPr>
              <w:t xml:space="preserve">admin</w:t>
            </w:r>
          </w:p>
        </w:tc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 w:val="false"/>
                <w:bCs w:val="false"/>
                <w:sz w:val="17"/>
                <w:szCs w:val="17"/>
                <w:shd w:fill="EEF1F5" w:color="auto" w:val="clear"/>
              </w:rPr>
              <w:t xml:space="preserve">Admin2026</w:t>
            </w:r>
          </w:p>
        </w:tc>
        <w:tc>
          <w:tcPr>
            <w:tcW w:type="dxa" w:w="5222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Amministratore di prova</w:t>
            </w:r>
          </w:p>
        </w:tc>
      </w:tr>
      <w:tr>
        <w:trPr>
          <w:cantSplit/>
          <w:tblHeader w:val="off"/>
        </w:trPr>
        <w:tc>
          <w:tcPr>
            <w:tcW w:type="dxa" w:w="1516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Regia</w:t>
            </w:r>
          </w:p>
        </w:tc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 w:val="false"/>
                <w:bCs w:val="false"/>
                <w:sz w:val="17"/>
                <w:szCs w:val="17"/>
                <w:shd w:fill="EEF1F5" w:color="auto" w:val="clear"/>
              </w:rPr>
              <w:t xml:space="preserve">regia</w:t>
            </w:r>
          </w:p>
        </w:tc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 w:val="false"/>
                <w:bCs w:val="false"/>
                <w:sz w:val="17"/>
                <w:szCs w:val="17"/>
                <w:shd w:fill="EEF1F5" w:color="auto" w:val="clear"/>
              </w:rPr>
              <w:t xml:space="preserve">Regia2026</w:t>
            </w:r>
          </w:p>
        </w:tc>
        <w:tc>
          <w:tcPr>
            <w:tcW w:type="dxa" w:w="5222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Giulia Bianchi (responsabile dell’«Evento di prova»)</w:t>
            </w:r>
          </w:p>
        </w:tc>
      </w:tr>
      <w:tr>
        <w:trPr>
          <w:cantSplit/>
          <w:tblHeader w:val="off"/>
        </w:trPr>
        <w:tc>
          <w:tcPr>
            <w:tcW w:type="dxa" w:w="1516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Regia</w:t>
            </w:r>
          </w:p>
        </w:tc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 w:val="false"/>
                <w:bCs w:val="false"/>
                <w:sz w:val="17"/>
                <w:szCs w:val="17"/>
                <w:shd w:fill="EEF1F5" w:color="auto" w:val="clear"/>
              </w:rPr>
              <w:t xml:space="preserve">regia2</w:t>
            </w:r>
          </w:p>
        </w:tc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 w:val="false"/>
                <w:bCs w:val="false"/>
                <w:sz w:val="17"/>
                <w:szCs w:val="17"/>
                <w:shd w:fill="EEF1F5" w:color="auto" w:val="clear"/>
              </w:rPr>
              <w:t xml:space="preserve">Regia2026</w:t>
            </w:r>
          </w:p>
        </w:tc>
        <w:tc>
          <w:tcPr>
            <w:tcW w:type="dxa" w:w="5222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Paolo Neri (operatore di regia in squadra)</w:t>
            </w:r>
          </w:p>
        </w:tc>
      </w:tr>
      <w:tr>
        <w:trPr>
          <w:cantSplit/>
          <w:tblHeader w:val="off"/>
        </w:trPr>
        <w:tc>
          <w:tcPr>
            <w:tcW w:type="dxa" w:w="1516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Relatore</w:t>
            </w:r>
          </w:p>
        </w:tc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 w:val="false"/>
                <w:bCs w:val="false"/>
                <w:sz w:val="17"/>
                <w:szCs w:val="17"/>
                <w:shd w:fill="EEF1F5" w:color="auto" w:val="clear"/>
              </w:rPr>
              <w:t xml:space="preserve">relatore</w:t>
            </w:r>
          </w:p>
        </w:tc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 w:val="false"/>
                <w:bCs w:val="false"/>
                <w:sz w:val="17"/>
                <w:szCs w:val="17"/>
                <w:shd w:fill="EEF1F5" w:color="auto" w:val="clear"/>
              </w:rPr>
              <w:t xml:space="preserve">Relatore2026</w:t>
            </w:r>
          </w:p>
        </w:tc>
        <w:tc>
          <w:tcPr>
            <w:tcW w:type="dxa" w:w="5222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Mario Rossi</w:t>
            </w:r>
          </w:p>
        </w:tc>
      </w:tr>
      <w:tr>
        <w:trPr>
          <w:cantSplit/>
          <w:tblHeader w:val="off"/>
        </w:trPr>
        <w:tc>
          <w:tcPr>
            <w:tcW w:type="dxa" w:w="1516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Relatore</w:t>
            </w:r>
          </w:p>
        </w:tc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 w:val="false"/>
                <w:bCs w:val="false"/>
                <w:sz w:val="17"/>
                <w:szCs w:val="17"/>
                <w:shd w:fill="EEF1F5" w:color="auto" w:val="clear"/>
              </w:rPr>
              <w:t xml:space="preserve">relatore2</w:t>
            </w:r>
          </w:p>
        </w:tc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 w:val="false"/>
                <w:bCs w:val="false"/>
                <w:sz w:val="17"/>
                <w:szCs w:val="17"/>
                <w:shd w:fill="EEF1F5" w:color="auto" w:val="clear"/>
              </w:rPr>
              <w:t xml:space="preserve">Relatore2026</w:t>
            </w:r>
          </w:p>
        </w:tc>
        <w:tc>
          <w:tcPr>
            <w:tcW w:type="dxa" w:w="5222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Laura Verdi</w:t>
            </w:r>
          </w:p>
        </w:tc>
      </w:tr>
      <w:tr>
        <w:trPr>
          <w:cantSplit/>
          <w:tblHeader w:val="off"/>
        </w:trPr>
        <w:tc>
          <w:tcPr>
            <w:tcW w:type="dxa" w:w="1516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Pubblico</w:t>
            </w:r>
          </w:p>
        </w:tc>
        <w:tc>
          <w:tcPr>
            <w:tcW w:type="dxa" w:w="8122"/>
            <w:gridSpan w:val="3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Nessun account: codice a 6 cifre dell’evento, mostrato all’avvio e nella pagina di accesso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F5A524" w:sz="6"/>
              <w:left w:val="single" w:color="F5A524" w:sz="6"/>
              <w:bottom w:val="single" w:color="F5A524" w:sz="6"/>
              <w:right w:val="single" w:color="F5A524" w:sz="6"/>
            </w:tcBorders>
            <w:shd w:fill="FFF4E0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120"/>
            </w:pPr>
            <w:r>
              <w:t xml:space="preserve">Le utenze di prova hanno password note a tutti e compaiono nella pagina di accesso: non attivarle su un’installazione pubblica. Per una versione locale già usata in precedenza, le utenze mancanti vengono aggiunte all’avvio senza toccare quelle esistenti.</w:t>
            </w:r>
          </w:p>
        </w:tc>
      </w:tr>
    </w:tbl>
    <w:p>
      <w:pPr>
        <w:spacing w:after="80"/>
      </w:pPr>
    </w:p>
    <w:p>
      <w:pPr>
        <w:spacing w:after="120"/>
      </w:pPr>
      <w:r>
        <w:t xml:space="preserve">Quando l’amministratore crea un utente o ne reimposta la password, al primo accesso Platea chiede all’interessato di sceglierne una nuova. Finché non la cambia, l’utente non può fare altro.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91200" cy="3619500"/>
            <wp:effectExtent t="0" r="0" b="0" l="0"/>
            <wp:docPr id="55" name="admin-01-nuova-password.jpg" descr="admin-01-nuova-password.jpg" title="admin-01-nuova-passwo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Il cambio obbligatorio della password al primo accesso.</w:t>
      </w:r>
    </w:p>
    <w:p>
      <w:pPr>
        <w:pStyle w:val="Heading1"/>
      </w:pPr>
      <w:r>
        <w:t xml:space="preserve">3. Creare gli utenti</w:t>
      </w:r>
    </w:p>
    <w:p>
      <w:pPr>
        <w:spacing w:after="120"/>
      </w:pPr>
      <w:r>
        <w:t xml:space="preserve">Vai su </w:t>
      </w:r>
      <w:r>
        <w:rPr>
          <w:b/>
          <w:bCs/>
        </w:rPr>
        <w:t xml:space="preserve">Utenti</w:t>
      </w:r>
      <w:r>
        <w:t xml:space="preserve"> nella barra in alto e premi </w:t>
      </w:r>
      <w:r>
        <w:rPr>
          <w:b/>
          <w:bCs/>
        </w:rPr>
        <w:t xml:space="preserve">+ Nuovo utente</w:t>
      </w:r>
      <w:r>
        <w:t xml:space="preserve">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91200" cy="3619500"/>
            <wp:effectExtent t="0" r="0" b="0" l="0"/>
            <wp:docPr id="56" name="admin-02-utenti.jpg" descr="admin-02-utenti.jpg" title="admin-02-uten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L’elenco degli utenti: ruolo, stato (attivo, primo accesso, disattivato) e ultimo accesso.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Inserisci nome e cognome ed eventualmente l’email (serve solo come promemoria: Platea non invia email).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Scegli il </w:t>
      </w:r>
      <w:r>
        <w:rPr>
          <w:b/>
          <w:bCs/>
        </w:rPr>
        <w:t xml:space="preserve">nome utente</w:t>
      </w:r>
      <w:r>
        <w:t xml:space="preserve">: lettere minuscole, numeri, punto o trattino, per esempio </w:t>
      </w:r>
      <w:r>
        <w:rPr>
          <w:rFonts w:ascii="Consolas" w:cs="Consolas" w:eastAsia="Consolas" w:hAnsi="Consolas"/>
          <w:sz w:val="20"/>
          <w:szCs w:val="20"/>
          <w:shd w:fill="EEF1F5" w:color="auto" w:val="clear"/>
        </w:rPr>
        <w:t xml:space="preserve">m.rossi</w:t>
      </w:r>
      <w:r>
        <w:t xml:space="preserve">. Non si può cambiare in seguito.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Scegli il </w:t>
      </w:r>
      <w:r>
        <w:rPr>
          <w:b/>
          <w:bCs/>
        </w:rPr>
        <w:t xml:space="preserve">ruolo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Usa la password iniziale proposta (oppure premi </w:t>
      </w:r>
      <w:r>
        <w:rPr>
          <w:b/>
          <w:bCs/>
        </w:rPr>
        <w:t xml:space="preserve">Genera</w:t>
      </w:r>
      <w:r>
        <w:t xml:space="preserve">) e comunicala all’interessato insieme al nome utente, a voce o con un canale sicuro. Al primo accesso la cambierà.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91200" cy="3619500"/>
            <wp:effectExtent t="0" r="0" b="0" l="0"/>
            <wp:docPr id="57" name="admin-03-nuovo-utente.jpg" descr="admin-03-nuovo-utente.jpg" title="admin-03-nuovo-uten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La creazione di un utente.</w:t>
      </w:r>
    </w:p>
    <w:p>
      <w:pPr>
        <w:pStyle w:val="Heading1"/>
      </w:pPr>
      <w:r>
        <w:t xml:space="preserve">4. Modificare, reimpostare, disattivare</w:t>
      </w:r>
    </w:p>
    <w:p>
      <w:pPr>
        <w:spacing w:after="120"/>
      </w:pPr>
      <w:r>
        <w:t xml:space="preserve">Con </w:t>
      </w:r>
      <w:r>
        <w:rPr>
          <w:b/>
          <w:bCs/>
        </w:rPr>
        <w:t xml:space="preserve">Modifica</w:t>
      </w:r>
      <w:r>
        <w:t xml:space="preserve"> su un utente puoi: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cambiare nome, email e ruolo;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reimpostare la password</w:t>
      </w:r>
      <w:r>
        <w:t xml:space="preserve">: scrivine una nuova (o premi Genera). L’utente viene disconnesso e al prossimo accesso deve sceglierne una sua;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disattivarlo</w:t>
      </w:r>
      <w:r>
        <w:t xml:space="preserve">, togliendo la spunta «Utente attivo»: non può più accedere, ma resta nelle squadre e nei report. È la scelta consigliata per collaboratori occasionali;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eliminarlo</w:t>
      </w:r>
      <w:r>
        <w:t xml:space="preserve"> definitivamente: viene tolto anche dalle squadre degli eventi.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91200" cy="3619500"/>
            <wp:effectExtent t="0" r="0" b="0" l="0"/>
            <wp:docPr id="58" name="admin-04-modifica-utente.jpg" descr="admin-04-modifica-utente.jpg" title="admin-04-modifica-uten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La modifica di un utente. Evidenziata, la disattivazione.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3E87C8" w:sz="6"/>
              <w:left w:val="single" w:color="3E87C8" w:sz="6"/>
              <w:bottom w:val="single" w:color="3E87C8" w:sz="6"/>
              <w:right w:val="single" w:color="3E87C8" w:sz="6"/>
            </w:tcBorders>
            <w:shd w:fill="EEF4FB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120"/>
            </w:pPr>
            <w:r>
              <w:t xml:space="preserve">Deve restare sempre almeno un amministratore attivo: Platea impedisce di disattivare, retrocedere o eliminare l’ultimo.</w:t>
            </w:r>
          </w:p>
        </w:tc>
      </w:tr>
    </w:tbl>
    <w:p>
      <w:pPr>
        <w:spacing w:after="80"/>
      </w:pPr>
    </w:p>
    <w:p>
      <w:pPr>
        <w:pStyle w:val="Heading1"/>
      </w:pPr>
      <w:r>
        <w:t xml:space="preserve">5. Assegnare le persone agli eventi</w:t>
      </w:r>
    </w:p>
    <w:p>
      <w:pPr>
        <w:spacing w:after="120"/>
      </w:pPr>
      <w:r>
        <w:t xml:space="preserve">Un utente vede un evento solo se ne fa parte. Dall’elenco eventi, con </w:t>
      </w:r>
      <w:r>
        <w:rPr>
          <w:b/>
          <w:bCs/>
        </w:rPr>
        <w:t xml:space="preserve">Squadra</w:t>
      </w:r>
      <w:r>
        <w:t xml:space="preserve">, scegli gli operatori di regia aggiuntivi e i relatori. Anche la regia può farlo per i propri eventi.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91200" cy="3619500"/>
            <wp:effectExtent t="0" r="0" b="0" l="0"/>
            <wp:docPr id="59" name="regia-03-squadra.jpg" descr="regia-03-squadra.jpg" title="regia-03-squad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La squadra di un evento.</w:t>
      </w:r>
    </w:p>
    <w:p>
      <w:pPr>
        <w:pStyle w:val="Heading1"/>
      </w:pPr>
      <w:r>
        <w:t xml:space="preserve">6. Il tuo profilo</w:t>
      </w:r>
    </w:p>
    <w:p>
      <w:pPr>
        <w:spacing w:after="120"/>
      </w:pPr>
      <w:r>
        <w:t xml:space="preserve">Cliccando sul tuo nome in alto apri il profilo: aggiorni nome ed email e cambi la password (serve quella attuale). Vale per tutti gli utenti.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91200" cy="3619500"/>
            <wp:effectExtent t="0" r="0" b="0" l="0"/>
            <wp:docPr id="60" name="admin-05-profilo.jpg" descr="admin-05-profilo.jpg" title="admin-05-profi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Il profilo personale.</w:t>
      </w:r>
    </w:p>
    <w:p>
      <w:pPr>
        <w:pStyle w:val="Heading1"/>
      </w:pPr>
      <w:r>
        <w:t xml:space="preserve">7. Sicurezza e dati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Le password sono conservate solo in forma cifrata (scrypt) e nessuno, nemmeno l’amministratore, può leggerle: si possono solo reimpostare.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Dopo 10 tentativi di accesso falliti dallo stesso indirizzo, l’accesso viene sospeso per 15 minuti.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La sessione dura 7 giorni sullo stesso browser. Con </w:t>
      </w:r>
      <w:r>
        <w:rPr>
          <w:b/>
          <w:bCs/>
        </w:rPr>
        <w:t xml:space="preserve">Esci</w:t>
      </w:r>
      <w:r>
        <w:t xml:space="preserve"> la chiudi subito, e disattivare un utente chiude tutte le sue sessioni.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Gli utenti sono nel file </w:t>
      </w:r>
      <w:r>
        <w:rPr>
          <w:rFonts w:ascii="Consolas" w:cs="Consolas" w:eastAsia="Consolas" w:hAnsi="Consolas"/>
          <w:sz w:val="20"/>
          <w:szCs w:val="20"/>
          <w:shd w:fill="EEF1F5" w:color="auto" w:val="clear"/>
        </w:rPr>
        <w:t xml:space="preserve">data/utenti.json</w:t>
      </w:r>
      <w:r>
        <w:t xml:space="preserve">, gli eventi negli altri file della cartella </w:t>
      </w:r>
      <w:r>
        <w:rPr>
          <w:rFonts w:ascii="Consolas" w:cs="Consolas" w:eastAsia="Consolas" w:hAnsi="Consolas"/>
          <w:sz w:val="20"/>
          <w:szCs w:val="20"/>
          <w:shd w:fill="EEF1F5" w:color="auto" w:val="clear"/>
        </w:rPr>
        <w:t xml:space="preserve">data</w:t>
      </w:r>
      <w:r>
        <w:t xml:space="preserve">: includi la cartella nei backup del server. Lo stesso archivio funziona sia con la versione Node sia con quella Python.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 dati di ogni evento si cancellano automaticamente dopo il periodo impostato dalla regia (predefinito 30 giorni dall’ultima attività).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Sul server usa sempre HTTPS (con la configurazione Docker inclusa è automatico): i cookie di sessione diventano «Secure».</w:t>
      </w:r>
    </w:p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1134" w:right="1134" w:bottom="1134" w:left="1134" w:header="708" w:footer="708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color w:val="5B6475"/>
        <w:sz w:val="17"/>
        <w:szCs w:val="17"/>
      </w:rPr>
      <w:t xml:space="preserve">Platea by Opinio.online</w:t>
    </w:r>
    <w:r>
      <w:rPr>
        <w:color w:val="5B6475"/>
        <w:sz w:val="17"/>
        <w:szCs w:val="17"/>
      </w:rPr>
      <w:t xml:space="preserve">	Pagina </w:t>
      <w:fldChar w:fldCharType="begin"/>
      <w:instrText xml:space="preserve">PAGE</w:instrText>
      <w:fldChar w:fldCharType="separate"/>
      <w:fldChar w:fldCharType="end"/>
      <w:t xml:space="preserve"> di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B6475"/>
        <w:sz w:val="17"/>
        <w:szCs w:val="17"/>
      </w:rPr>
      <w:t xml:space="preserve">Platea · Guida per l’amministratore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  <w:rPr>
        <w:color w:val="3E87C8"/>
      </w:rPr>
    </w:lvl>
    <w:lvl w:ilvl="1" w:tentative="1">
      <w:start w:val="1"/>
      <w:numFmt w:val="bullet"/>
      <w:lvlText w:val="–"/>
      <w:lvlJc w:val="left"/>
      <w:pPr>
        <w:ind w:left="100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20"/>
      </w:pPr>
      <w:rPr>
        <w:b/>
        <w:bCs/>
        <w:color w:val="0A124D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B2233"/>
        <w:sz w:val="22"/>
        <w:szCs w:val="22"/>
      </w:rPr>
    </w:rPrDefault>
    <w:pPrDefault>
      <w:pPr>
        <w:spacing w:line="288" w:lineRule="auto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420"/>
      <w:outlineLvl w:val="0"/>
    </w:pPr>
    <w:rPr>
      <w:rFonts w:ascii="Calibri" w:cs="Calibri" w:eastAsia="Calibri" w:hAnsi="Calibri"/>
      <w:b/>
      <w:bCs/>
      <w:color w:val="0A124D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after="120" w:before="300"/>
      <w:outlineLvl w:val="1"/>
    </w:pPr>
    <w:rPr>
      <w:rFonts w:ascii="Calibri" w:cs="Calibri" w:eastAsia="Calibri" w:hAnsi="Calibri"/>
      <w:b/>
      <w:bCs/>
      <w:color w:val="3E87C8"/>
      <w:sz w:val="27"/>
      <w:szCs w:val="27"/>
    </w:rPr>
  </w:style>
  <w:style w:type="paragraph" w:styleId="Heading3">
    <w:name w:val="Heading 3"/>
    <w:basedOn w:val="Normal"/>
    <w:next w:val="Normal"/>
    <w:qFormat/>
    <w:pPr>
      <w:keepNext/>
      <w:spacing w:after="80" w:before="220"/>
      <w:outlineLvl w:val="2"/>
    </w:pPr>
    <w:rPr>
      <w:rFonts w:ascii="Calibri" w:cs="Calibri" w:eastAsia="Calibri" w:hAnsi="Calibri"/>
      <w:b/>
      <w:bCs/>
      <w:color w:val="0A124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image" Target="media/f9aec943dcab06a7b418c959754c0d599ef49c37.png"/><Relationship Id="rId12" Type="http://schemas.openxmlformats.org/officeDocument/2006/relationships/image" Target="media/7d73144d82cec97519317242b3c77bae8e31d673.jpg"/><Relationship Id="rId13" Type="http://schemas.openxmlformats.org/officeDocument/2006/relationships/image" Target="media/bf59d2666351fb876cea09f4165e5e3b2c8a2b55.jpg"/><Relationship Id="rId14" Type="http://schemas.openxmlformats.org/officeDocument/2006/relationships/image" Target="media/3b7a9aabceb3fde3cb02d0360275b9e4c5498d05.jpg"/><Relationship Id="rId15" Type="http://schemas.openxmlformats.org/officeDocument/2006/relationships/image" Target="media/5534f076c159820282a9c55be40e49c66e1b8051.jpg"/><Relationship Id="rId16" Type="http://schemas.openxmlformats.org/officeDocument/2006/relationships/image" Target="media/981ba4e76ed7c6981918d2e3c2e6c48b20b8545e.jpg"/><Relationship Id="rId17" Type="http://schemas.openxmlformats.org/officeDocument/2006/relationships/image" Target="media/ce4ad20ad9587c97deff3bd1067482b6fd057dd9.jp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Gestire utenti e accessi · Platea</dc:title>
  <dc:creator>Opinio.online</dc:creator>
  <dc:description>L’amministratore crea gli account di regia e relatori, ne gestisce ruoli e password e vede tutti gli eventi. Il pubblico non ha account.</dc:description>
  <cp:lastModifiedBy>Un-named</cp:lastModifiedBy>
  <cp:revision>1</cp:revision>
  <dcterms:created xsi:type="dcterms:W3CDTF">2026-10-25T10:49:46.363Z</dcterms:created>
  <dcterms:modified xsi:type="dcterms:W3CDTF">2026-10-25T10:49:46.363Z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